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CDEC1" w14:textId="77777777" w:rsidR="000E440F" w:rsidRDefault="000E440F" w:rsidP="003E1024">
      <w:pPr>
        <w:jc w:val="center"/>
        <w:rPr>
          <w:rFonts w:cs="Arial"/>
          <w:b/>
          <w:color w:val="4472C4" w:themeColor="accent1"/>
          <w:sz w:val="52"/>
          <w:szCs w:val="52"/>
        </w:rPr>
      </w:pPr>
    </w:p>
    <w:p w14:paraId="0235F27E" w14:textId="17513FE4" w:rsidR="003E1024" w:rsidRPr="00EF6222" w:rsidRDefault="003E1024" w:rsidP="003E1024">
      <w:pPr>
        <w:jc w:val="center"/>
        <w:rPr>
          <w:rFonts w:cs="Arial"/>
          <w:b/>
          <w:color w:val="4472C4" w:themeColor="accent1"/>
          <w:sz w:val="52"/>
          <w:szCs w:val="52"/>
        </w:rPr>
      </w:pPr>
      <w:r w:rsidRPr="00EF6222">
        <w:rPr>
          <w:rFonts w:cs="Arial"/>
          <w:b/>
          <w:color w:val="4472C4" w:themeColor="accent1"/>
          <w:sz w:val="52"/>
          <w:szCs w:val="52"/>
        </w:rPr>
        <w:t xml:space="preserve">Comune di </w:t>
      </w:r>
      <w:r w:rsidR="00CA3D96">
        <w:rPr>
          <w:rFonts w:cs="Arial"/>
          <w:b/>
          <w:color w:val="4472C4" w:themeColor="accent1"/>
          <w:sz w:val="52"/>
          <w:szCs w:val="52"/>
        </w:rPr>
        <w:t>ARENA PO</w:t>
      </w:r>
    </w:p>
    <w:p w14:paraId="6AA47B47" w14:textId="3EB5E1AC" w:rsidR="003E1024" w:rsidRPr="0073406A" w:rsidRDefault="003E1024" w:rsidP="003E1024">
      <w:pPr>
        <w:jc w:val="center"/>
        <w:rPr>
          <w:rFonts w:cs="Arial"/>
          <w:b/>
          <w:color w:val="4472C4" w:themeColor="accent1"/>
          <w:sz w:val="52"/>
          <w:szCs w:val="52"/>
        </w:rPr>
      </w:pPr>
      <w:r w:rsidRPr="00EF6222">
        <w:rPr>
          <w:rFonts w:cs="Arial"/>
          <w:b/>
          <w:color w:val="4472C4" w:themeColor="accent1"/>
          <w:sz w:val="52"/>
          <w:szCs w:val="52"/>
        </w:rPr>
        <w:t xml:space="preserve">Provincia di </w:t>
      </w:r>
      <w:r w:rsidR="008831F2">
        <w:rPr>
          <w:rFonts w:cs="Arial"/>
          <w:b/>
          <w:color w:val="4472C4" w:themeColor="accent1"/>
          <w:sz w:val="52"/>
          <w:szCs w:val="52"/>
        </w:rPr>
        <w:t>PAVIA</w:t>
      </w:r>
    </w:p>
    <w:p w14:paraId="431A32C7" w14:textId="77777777" w:rsidR="003E1024" w:rsidRPr="00970568" w:rsidRDefault="003E1024" w:rsidP="003E1024">
      <w:pPr>
        <w:jc w:val="center"/>
        <w:rPr>
          <w:rFonts w:cs="Arial"/>
          <w:b/>
          <w:szCs w:val="20"/>
        </w:rPr>
      </w:pPr>
    </w:p>
    <w:p w14:paraId="5F1AE0EC" w14:textId="77777777" w:rsidR="003E1024" w:rsidRPr="00970568" w:rsidRDefault="003E1024" w:rsidP="003E1024">
      <w:pPr>
        <w:spacing w:line="276" w:lineRule="auto"/>
        <w:jc w:val="center"/>
        <w:rPr>
          <w:rFonts w:cs="Arial"/>
          <w:b/>
          <w:szCs w:val="20"/>
        </w:rPr>
      </w:pPr>
    </w:p>
    <w:p w14:paraId="25339567" w14:textId="77777777" w:rsidR="003E1024" w:rsidRPr="00970568" w:rsidRDefault="003E1024" w:rsidP="003E1024">
      <w:pPr>
        <w:spacing w:line="276" w:lineRule="auto"/>
        <w:jc w:val="center"/>
        <w:rPr>
          <w:rFonts w:cs="Arial"/>
          <w:b/>
          <w:szCs w:val="20"/>
        </w:rPr>
      </w:pPr>
    </w:p>
    <w:p w14:paraId="46F757D3" w14:textId="77777777" w:rsidR="003E1024" w:rsidRDefault="003E1024" w:rsidP="003E1024">
      <w:pPr>
        <w:spacing w:line="276" w:lineRule="auto"/>
        <w:jc w:val="center"/>
        <w:rPr>
          <w:rFonts w:cs="Arial"/>
          <w:b/>
          <w:szCs w:val="20"/>
        </w:rPr>
      </w:pPr>
    </w:p>
    <w:p w14:paraId="19F11777" w14:textId="77777777" w:rsidR="003E1024" w:rsidRPr="00970568" w:rsidRDefault="003E1024" w:rsidP="003E1024">
      <w:pPr>
        <w:spacing w:line="276" w:lineRule="auto"/>
        <w:jc w:val="center"/>
        <w:rPr>
          <w:rFonts w:cs="Arial"/>
          <w:b/>
          <w:sz w:val="40"/>
          <w:szCs w:val="40"/>
        </w:rPr>
      </w:pPr>
      <w:r w:rsidRPr="00970568">
        <w:rPr>
          <w:rFonts w:cs="Arial"/>
          <w:b/>
          <w:sz w:val="40"/>
          <w:szCs w:val="40"/>
        </w:rPr>
        <w:t>RELAZIONE FINALE DI ACCOMPAGNAMENTO</w:t>
      </w:r>
    </w:p>
    <w:p w14:paraId="511DF397" w14:textId="77777777" w:rsidR="003E1024" w:rsidRPr="00970568" w:rsidRDefault="003E1024" w:rsidP="003E1024">
      <w:pPr>
        <w:spacing w:line="276" w:lineRule="auto"/>
        <w:jc w:val="center"/>
        <w:rPr>
          <w:rFonts w:cs="Arial"/>
          <w:b/>
          <w:sz w:val="32"/>
          <w:szCs w:val="32"/>
        </w:rPr>
      </w:pPr>
      <w:r w:rsidRPr="00970568">
        <w:rPr>
          <w:rFonts w:cs="Arial"/>
          <w:b/>
          <w:sz w:val="32"/>
          <w:szCs w:val="32"/>
        </w:rPr>
        <w:t>al Piano Economico Finanziario 2022-2025</w:t>
      </w:r>
    </w:p>
    <w:p w14:paraId="0516CD03" w14:textId="77777777" w:rsidR="003E1024" w:rsidRPr="00970568" w:rsidRDefault="003E1024" w:rsidP="003E1024">
      <w:pPr>
        <w:spacing w:line="276" w:lineRule="auto"/>
        <w:jc w:val="center"/>
        <w:rPr>
          <w:rFonts w:cs="Arial"/>
          <w:b/>
          <w:sz w:val="32"/>
          <w:szCs w:val="32"/>
        </w:rPr>
      </w:pPr>
      <w:r w:rsidRPr="00970568">
        <w:rPr>
          <w:rFonts w:cs="Arial"/>
          <w:b/>
          <w:sz w:val="32"/>
          <w:szCs w:val="32"/>
        </w:rPr>
        <w:t>per il servizio integrato di gestione dei Rifiuti</w:t>
      </w:r>
    </w:p>
    <w:p w14:paraId="56C3A7CE" w14:textId="77777777" w:rsidR="003E1024" w:rsidRDefault="003E1024" w:rsidP="003E1024">
      <w:pPr>
        <w:spacing w:line="276" w:lineRule="auto"/>
        <w:jc w:val="center"/>
        <w:rPr>
          <w:rFonts w:cs="Arial"/>
          <w:b/>
          <w:szCs w:val="20"/>
        </w:rPr>
      </w:pPr>
    </w:p>
    <w:p w14:paraId="2B098120" w14:textId="77777777" w:rsidR="003E1024" w:rsidRDefault="003E1024" w:rsidP="003E1024">
      <w:pPr>
        <w:spacing w:line="276" w:lineRule="auto"/>
        <w:jc w:val="center"/>
        <w:rPr>
          <w:rFonts w:cs="Arial"/>
          <w:b/>
          <w:szCs w:val="20"/>
        </w:rPr>
      </w:pPr>
    </w:p>
    <w:p w14:paraId="26AB62B2" w14:textId="77777777" w:rsidR="003E1024" w:rsidRPr="00970568" w:rsidRDefault="003E1024" w:rsidP="003E1024">
      <w:pPr>
        <w:spacing w:line="276" w:lineRule="auto"/>
        <w:jc w:val="center"/>
        <w:rPr>
          <w:rFonts w:cs="Arial"/>
          <w:b/>
          <w:szCs w:val="20"/>
        </w:rPr>
      </w:pPr>
    </w:p>
    <w:p w14:paraId="17F617BD" w14:textId="77777777" w:rsidR="003E1024" w:rsidRPr="0073406A" w:rsidRDefault="003E1024" w:rsidP="003E1024">
      <w:pPr>
        <w:spacing w:line="276" w:lineRule="auto"/>
        <w:jc w:val="center"/>
        <w:rPr>
          <w:rFonts w:cs="Arial"/>
          <w:b/>
          <w:color w:val="4472C4" w:themeColor="accent1"/>
          <w:sz w:val="32"/>
          <w:szCs w:val="32"/>
        </w:rPr>
      </w:pPr>
      <w:r w:rsidRPr="0073406A">
        <w:rPr>
          <w:rFonts w:cs="Arial"/>
          <w:b/>
          <w:color w:val="4472C4" w:themeColor="accent1"/>
          <w:sz w:val="32"/>
          <w:szCs w:val="32"/>
        </w:rPr>
        <w:t>Aggiornamento tariffario biennale 2024/2025</w:t>
      </w:r>
    </w:p>
    <w:p w14:paraId="56F975AA" w14:textId="77777777" w:rsidR="003E1024" w:rsidRPr="00970568" w:rsidRDefault="003E1024" w:rsidP="003E1024">
      <w:pPr>
        <w:spacing w:line="276" w:lineRule="auto"/>
        <w:jc w:val="center"/>
        <w:rPr>
          <w:rFonts w:cs="Arial"/>
          <w:szCs w:val="20"/>
        </w:rPr>
      </w:pPr>
      <w:r w:rsidRPr="00970568">
        <w:rPr>
          <w:rFonts w:cs="Arial"/>
          <w:b/>
          <w:szCs w:val="20"/>
        </w:rPr>
        <w:t xml:space="preserve">Ai sensi della Deliberazione ARERA 3 </w:t>
      </w:r>
      <w:proofErr w:type="gramStart"/>
      <w:r w:rsidRPr="00970568">
        <w:rPr>
          <w:rFonts w:cs="Arial"/>
          <w:b/>
          <w:szCs w:val="20"/>
        </w:rPr>
        <w:t>Agosto</w:t>
      </w:r>
      <w:proofErr w:type="gramEnd"/>
      <w:r w:rsidRPr="00970568">
        <w:rPr>
          <w:rFonts w:cs="Arial"/>
          <w:b/>
          <w:szCs w:val="20"/>
        </w:rPr>
        <w:t xml:space="preserve"> 2021 n. 363/2021/R/Rif come integrata e modificata dalla Deliberazione 3 Agosto 2023 n. 389/2023/R/Rif</w:t>
      </w:r>
    </w:p>
    <w:p w14:paraId="106100B1" w14:textId="77777777" w:rsidR="002F5AA0" w:rsidRPr="0034669D" w:rsidRDefault="002F5AA0" w:rsidP="00393406">
      <w:pPr>
        <w:rPr>
          <w:rFonts w:asciiTheme="minorHAnsi" w:hAnsiTheme="minorHAnsi"/>
        </w:rPr>
      </w:pPr>
    </w:p>
    <w:p w14:paraId="746445E9" w14:textId="77777777" w:rsidR="005316ED" w:rsidRPr="0034669D" w:rsidRDefault="005316ED" w:rsidP="00393406">
      <w:pPr>
        <w:rPr>
          <w:rFonts w:asciiTheme="minorHAnsi" w:hAnsiTheme="minorHAnsi"/>
        </w:rPr>
      </w:pPr>
    </w:p>
    <w:p w14:paraId="61EBC46D" w14:textId="77777777" w:rsidR="003E1024" w:rsidRDefault="003E1024">
      <w:pPr>
        <w:spacing w:before="0"/>
        <w:jc w:val="left"/>
        <w:rPr>
          <w:rFonts w:asciiTheme="minorHAnsi" w:hAnsiTheme="minorHAnsi"/>
          <w:u w:val="single"/>
        </w:rPr>
      </w:pPr>
      <w:r>
        <w:rPr>
          <w:rFonts w:asciiTheme="minorHAnsi" w:hAnsiTheme="minorHAnsi"/>
          <w:u w:val="single"/>
        </w:rPr>
        <w:br w:type="page"/>
      </w:r>
    </w:p>
    <w:p w14:paraId="45DB0404" w14:textId="1A8E58A7" w:rsidR="005316ED" w:rsidRPr="0034669D" w:rsidRDefault="005316ED" w:rsidP="00393406">
      <w:pPr>
        <w:rPr>
          <w:rFonts w:asciiTheme="minorHAnsi" w:hAnsiTheme="minorHAnsi"/>
          <w:u w:val="single"/>
        </w:rPr>
      </w:pPr>
      <w:r w:rsidRPr="0034669D">
        <w:rPr>
          <w:rFonts w:asciiTheme="minorHAnsi" w:hAnsiTheme="minorHAnsi"/>
          <w:u w:val="single"/>
        </w:rPr>
        <w:lastRenderedPageBreak/>
        <w:t>Indice</w:t>
      </w:r>
      <w:r w:rsidR="0004185F" w:rsidRPr="0034669D">
        <w:rPr>
          <w:rFonts w:asciiTheme="minorHAnsi" w:hAnsiTheme="minorHAnsi"/>
          <w:u w:val="single"/>
        </w:rPr>
        <w:t xml:space="preserve"> della relazione</w:t>
      </w:r>
    </w:p>
    <w:p w14:paraId="7E35D767" w14:textId="77777777" w:rsidR="005316ED" w:rsidRPr="0034669D" w:rsidRDefault="005316ED" w:rsidP="00393406">
      <w:pPr>
        <w:rPr>
          <w:rFonts w:asciiTheme="minorHAnsi" w:hAnsiTheme="minorHAnsi"/>
        </w:rPr>
      </w:pPr>
    </w:p>
    <w:p w14:paraId="2D9935B0" w14:textId="0BF5CA41" w:rsidR="00F57AA6" w:rsidRDefault="005316ED">
      <w:pPr>
        <w:pStyle w:val="Sommario1"/>
        <w:rPr>
          <w:rFonts w:asciiTheme="minorHAnsi" w:eastAsiaTheme="minorEastAsia" w:hAnsiTheme="minorHAnsi" w:cstheme="minorBidi"/>
          <w:b w:val="0"/>
          <w:kern w:val="2"/>
          <w:sz w:val="24"/>
          <w14:ligatures w14:val="standardContextual"/>
        </w:rPr>
      </w:pPr>
      <w:r w:rsidRPr="0034669D">
        <w:rPr>
          <w:rFonts w:asciiTheme="minorHAnsi" w:hAnsiTheme="minorHAnsi"/>
        </w:rPr>
        <w:fldChar w:fldCharType="begin"/>
      </w:r>
      <w:r w:rsidRPr="0034669D">
        <w:rPr>
          <w:rFonts w:asciiTheme="minorHAnsi" w:hAnsiTheme="minorHAnsi"/>
        </w:rPr>
        <w:instrText xml:space="preserve"> TOC \o "1-4" \h \z \u </w:instrText>
      </w:r>
      <w:r w:rsidRPr="0034669D">
        <w:rPr>
          <w:rFonts w:asciiTheme="minorHAnsi" w:hAnsiTheme="minorHAnsi"/>
        </w:rPr>
        <w:fldChar w:fldCharType="separate"/>
      </w:r>
      <w:hyperlink w:anchor="_Toc163127405" w:history="1">
        <w:r w:rsidR="00F57AA6" w:rsidRPr="0075224A">
          <w:rPr>
            <w:rStyle w:val="Collegamentoipertestuale"/>
          </w:rPr>
          <w:t>1</w:t>
        </w:r>
        <w:r w:rsidR="00F57AA6">
          <w:rPr>
            <w:rFonts w:asciiTheme="minorHAnsi" w:eastAsiaTheme="minorEastAsia" w:hAnsiTheme="minorHAnsi" w:cstheme="minorBidi"/>
            <w:b w:val="0"/>
            <w:kern w:val="2"/>
            <w:sz w:val="24"/>
            <w14:ligatures w14:val="standardContextual"/>
          </w:rPr>
          <w:tab/>
        </w:r>
        <w:r w:rsidR="00F57AA6" w:rsidRPr="0075224A">
          <w:rPr>
            <w:rStyle w:val="Collegamentoipertestuale"/>
          </w:rPr>
          <w:t>Premessa (ETC)</w:t>
        </w:r>
        <w:r w:rsidR="00F57AA6">
          <w:rPr>
            <w:webHidden/>
          </w:rPr>
          <w:tab/>
        </w:r>
        <w:r w:rsidR="00F57AA6">
          <w:rPr>
            <w:webHidden/>
          </w:rPr>
          <w:fldChar w:fldCharType="begin"/>
        </w:r>
        <w:r w:rsidR="00F57AA6">
          <w:rPr>
            <w:webHidden/>
          </w:rPr>
          <w:instrText xml:space="preserve"> PAGEREF _Toc163127405 \h </w:instrText>
        </w:r>
        <w:r w:rsidR="00F57AA6">
          <w:rPr>
            <w:webHidden/>
          </w:rPr>
        </w:r>
        <w:r w:rsidR="00F57AA6">
          <w:rPr>
            <w:webHidden/>
          </w:rPr>
          <w:fldChar w:fldCharType="separate"/>
        </w:r>
        <w:r w:rsidR="00F57AA6">
          <w:rPr>
            <w:webHidden/>
          </w:rPr>
          <w:t>3</w:t>
        </w:r>
        <w:r w:rsidR="00F57AA6">
          <w:rPr>
            <w:webHidden/>
          </w:rPr>
          <w:fldChar w:fldCharType="end"/>
        </w:r>
      </w:hyperlink>
    </w:p>
    <w:p w14:paraId="69AD5DA1" w14:textId="79F60AC5" w:rsidR="00F57AA6" w:rsidRDefault="000E440F">
      <w:pPr>
        <w:pStyle w:val="Sommario1"/>
        <w:rPr>
          <w:rFonts w:asciiTheme="minorHAnsi" w:eastAsiaTheme="minorEastAsia" w:hAnsiTheme="minorHAnsi" w:cstheme="minorBidi"/>
          <w:b w:val="0"/>
          <w:kern w:val="2"/>
          <w:sz w:val="24"/>
          <w14:ligatures w14:val="standardContextual"/>
        </w:rPr>
      </w:pPr>
      <w:hyperlink w:anchor="_Toc163127406" w:history="1">
        <w:r w:rsidR="00F57AA6" w:rsidRPr="0075224A">
          <w:rPr>
            <w:rStyle w:val="Collegamentoipertestuale"/>
          </w:rPr>
          <w:t>2</w:t>
        </w:r>
        <w:r w:rsidR="00F57AA6">
          <w:rPr>
            <w:rFonts w:asciiTheme="minorHAnsi" w:eastAsiaTheme="minorEastAsia" w:hAnsiTheme="minorHAnsi" w:cstheme="minorBidi"/>
            <w:b w:val="0"/>
            <w:kern w:val="2"/>
            <w:sz w:val="24"/>
            <w14:ligatures w14:val="standardContextual"/>
          </w:rPr>
          <w:tab/>
        </w:r>
        <w:r w:rsidR="00F57AA6" w:rsidRPr="0075224A">
          <w:rPr>
            <w:rStyle w:val="Collegamentoipertestuale"/>
          </w:rPr>
          <w:t>Descrizione dei servizi forniti (G)</w:t>
        </w:r>
        <w:r w:rsidR="00F57AA6">
          <w:rPr>
            <w:webHidden/>
          </w:rPr>
          <w:tab/>
        </w:r>
        <w:r w:rsidR="00F57AA6">
          <w:rPr>
            <w:webHidden/>
          </w:rPr>
          <w:fldChar w:fldCharType="begin"/>
        </w:r>
        <w:r w:rsidR="00F57AA6">
          <w:rPr>
            <w:webHidden/>
          </w:rPr>
          <w:instrText xml:space="preserve"> PAGEREF _Toc163127406 \h </w:instrText>
        </w:r>
        <w:r w:rsidR="00F57AA6">
          <w:rPr>
            <w:webHidden/>
          </w:rPr>
        </w:r>
        <w:r w:rsidR="00F57AA6">
          <w:rPr>
            <w:webHidden/>
          </w:rPr>
          <w:fldChar w:fldCharType="separate"/>
        </w:r>
        <w:r w:rsidR="00F57AA6">
          <w:rPr>
            <w:webHidden/>
          </w:rPr>
          <w:t>3</w:t>
        </w:r>
        <w:r w:rsidR="00F57AA6">
          <w:rPr>
            <w:webHidden/>
          </w:rPr>
          <w:fldChar w:fldCharType="end"/>
        </w:r>
      </w:hyperlink>
    </w:p>
    <w:p w14:paraId="3AEDC846" w14:textId="7E047F88" w:rsidR="00F57AA6" w:rsidRDefault="000E440F">
      <w:pPr>
        <w:pStyle w:val="Sommario1"/>
        <w:rPr>
          <w:rFonts w:asciiTheme="minorHAnsi" w:eastAsiaTheme="minorEastAsia" w:hAnsiTheme="minorHAnsi" w:cstheme="minorBidi"/>
          <w:b w:val="0"/>
          <w:kern w:val="2"/>
          <w:sz w:val="24"/>
          <w14:ligatures w14:val="standardContextual"/>
        </w:rPr>
      </w:pPr>
      <w:hyperlink w:anchor="_Toc163127407" w:history="1">
        <w:r w:rsidR="00F57AA6" w:rsidRPr="0075224A">
          <w:rPr>
            <w:rStyle w:val="Collegamentoipertestuale"/>
          </w:rPr>
          <w:t>3</w:t>
        </w:r>
        <w:r w:rsidR="00F57AA6">
          <w:rPr>
            <w:rFonts w:asciiTheme="minorHAnsi" w:eastAsiaTheme="minorEastAsia" w:hAnsiTheme="minorHAnsi" w:cstheme="minorBidi"/>
            <w:b w:val="0"/>
            <w:kern w:val="2"/>
            <w:sz w:val="24"/>
            <w14:ligatures w14:val="standardContextual"/>
          </w:rPr>
          <w:tab/>
        </w:r>
        <w:r w:rsidR="00F57AA6" w:rsidRPr="0075224A">
          <w:rPr>
            <w:rStyle w:val="Collegamentoipertestuale"/>
          </w:rPr>
          <w:t>Dati relativi alla gestione dell’ambito tariffario (G)</w:t>
        </w:r>
        <w:r w:rsidR="00F57AA6">
          <w:rPr>
            <w:webHidden/>
          </w:rPr>
          <w:tab/>
        </w:r>
        <w:r w:rsidR="00F57AA6">
          <w:rPr>
            <w:webHidden/>
          </w:rPr>
          <w:fldChar w:fldCharType="begin"/>
        </w:r>
        <w:r w:rsidR="00F57AA6">
          <w:rPr>
            <w:webHidden/>
          </w:rPr>
          <w:instrText xml:space="preserve"> PAGEREF _Toc163127407 \h </w:instrText>
        </w:r>
        <w:r w:rsidR="00F57AA6">
          <w:rPr>
            <w:webHidden/>
          </w:rPr>
        </w:r>
        <w:r w:rsidR="00F57AA6">
          <w:rPr>
            <w:webHidden/>
          </w:rPr>
          <w:fldChar w:fldCharType="separate"/>
        </w:r>
        <w:r w:rsidR="00F57AA6">
          <w:rPr>
            <w:webHidden/>
          </w:rPr>
          <w:t>3</w:t>
        </w:r>
        <w:r w:rsidR="00F57AA6">
          <w:rPr>
            <w:webHidden/>
          </w:rPr>
          <w:fldChar w:fldCharType="end"/>
        </w:r>
      </w:hyperlink>
    </w:p>
    <w:p w14:paraId="4F28F6A7" w14:textId="7570E2C4" w:rsidR="00F57AA6" w:rsidRDefault="000E440F">
      <w:pPr>
        <w:pStyle w:val="Sommario2"/>
        <w:rPr>
          <w:rFonts w:asciiTheme="minorHAnsi" w:eastAsiaTheme="minorEastAsia" w:hAnsiTheme="minorHAnsi" w:cstheme="minorBidi"/>
          <w:noProof/>
          <w:kern w:val="2"/>
          <w:sz w:val="24"/>
          <w14:ligatures w14:val="standardContextual"/>
        </w:rPr>
      </w:pPr>
      <w:hyperlink w:anchor="_Toc163127408" w:history="1">
        <w:r w:rsidR="00F57AA6" w:rsidRPr="0075224A">
          <w:rPr>
            <w:rStyle w:val="Collegamentoipertestuale"/>
            <w:rFonts w:eastAsia="Times"/>
            <w:noProof/>
          </w:rPr>
          <w:t>3.1</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Costi di competenza dell’Ente/Comune</w:t>
        </w:r>
        <w:r w:rsidR="00F57AA6">
          <w:rPr>
            <w:noProof/>
            <w:webHidden/>
          </w:rPr>
          <w:tab/>
        </w:r>
        <w:r w:rsidR="00F57AA6">
          <w:rPr>
            <w:noProof/>
            <w:webHidden/>
          </w:rPr>
          <w:fldChar w:fldCharType="begin"/>
        </w:r>
        <w:r w:rsidR="00F57AA6">
          <w:rPr>
            <w:noProof/>
            <w:webHidden/>
          </w:rPr>
          <w:instrText xml:space="preserve"> PAGEREF _Toc163127408 \h </w:instrText>
        </w:r>
        <w:r w:rsidR="00F57AA6">
          <w:rPr>
            <w:noProof/>
            <w:webHidden/>
          </w:rPr>
        </w:r>
        <w:r w:rsidR="00F57AA6">
          <w:rPr>
            <w:noProof/>
            <w:webHidden/>
          </w:rPr>
          <w:fldChar w:fldCharType="separate"/>
        </w:r>
        <w:r w:rsidR="00F57AA6">
          <w:rPr>
            <w:noProof/>
            <w:webHidden/>
          </w:rPr>
          <w:t>3</w:t>
        </w:r>
        <w:r w:rsidR="00F57AA6">
          <w:rPr>
            <w:noProof/>
            <w:webHidden/>
          </w:rPr>
          <w:fldChar w:fldCharType="end"/>
        </w:r>
      </w:hyperlink>
    </w:p>
    <w:p w14:paraId="718B3A9C" w14:textId="737D0082" w:rsidR="00F57AA6" w:rsidRDefault="000E440F">
      <w:pPr>
        <w:pStyle w:val="Sommario1"/>
        <w:rPr>
          <w:rFonts w:asciiTheme="minorHAnsi" w:eastAsiaTheme="minorEastAsia" w:hAnsiTheme="minorHAnsi" w:cstheme="minorBidi"/>
          <w:b w:val="0"/>
          <w:kern w:val="2"/>
          <w:sz w:val="24"/>
          <w14:ligatures w14:val="standardContextual"/>
        </w:rPr>
      </w:pPr>
      <w:hyperlink w:anchor="_Toc163127409" w:history="1">
        <w:r w:rsidR="00F57AA6" w:rsidRPr="0075224A">
          <w:rPr>
            <w:rStyle w:val="Collegamentoipertestuale"/>
          </w:rPr>
          <w:t>4</w:t>
        </w:r>
        <w:r w:rsidR="00F57AA6">
          <w:rPr>
            <w:rFonts w:asciiTheme="minorHAnsi" w:eastAsiaTheme="minorEastAsia" w:hAnsiTheme="minorHAnsi" w:cstheme="minorBidi"/>
            <w:b w:val="0"/>
            <w:kern w:val="2"/>
            <w:sz w:val="24"/>
            <w14:ligatures w14:val="standardContextual"/>
          </w:rPr>
          <w:tab/>
        </w:r>
        <w:r w:rsidR="00F57AA6" w:rsidRPr="0075224A">
          <w:rPr>
            <w:rStyle w:val="Collegamentoipertestuale"/>
          </w:rPr>
          <w:t>Attività di validazione (ETC)</w:t>
        </w:r>
        <w:r w:rsidR="00F57AA6">
          <w:rPr>
            <w:webHidden/>
          </w:rPr>
          <w:tab/>
        </w:r>
        <w:r w:rsidR="00F57AA6">
          <w:rPr>
            <w:webHidden/>
          </w:rPr>
          <w:fldChar w:fldCharType="begin"/>
        </w:r>
        <w:r w:rsidR="00F57AA6">
          <w:rPr>
            <w:webHidden/>
          </w:rPr>
          <w:instrText xml:space="preserve"> PAGEREF _Toc163127409 \h </w:instrText>
        </w:r>
        <w:r w:rsidR="00F57AA6">
          <w:rPr>
            <w:webHidden/>
          </w:rPr>
        </w:r>
        <w:r w:rsidR="00F57AA6">
          <w:rPr>
            <w:webHidden/>
          </w:rPr>
          <w:fldChar w:fldCharType="separate"/>
        </w:r>
        <w:r w:rsidR="00F57AA6">
          <w:rPr>
            <w:webHidden/>
          </w:rPr>
          <w:t>5</w:t>
        </w:r>
        <w:r w:rsidR="00F57AA6">
          <w:rPr>
            <w:webHidden/>
          </w:rPr>
          <w:fldChar w:fldCharType="end"/>
        </w:r>
      </w:hyperlink>
    </w:p>
    <w:p w14:paraId="055459A1" w14:textId="2C6E2CB5" w:rsidR="00F57AA6" w:rsidRDefault="000E440F">
      <w:pPr>
        <w:pStyle w:val="Sommario2"/>
        <w:rPr>
          <w:rFonts w:asciiTheme="minorHAnsi" w:eastAsiaTheme="minorEastAsia" w:hAnsiTheme="minorHAnsi" w:cstheme="minorBidi"/>
          <w:noProof/>
          <w:kern w:val="2"/>
          <w:sz w:val="24"/>
          <w14:ligatures w14:val="standardContextual"/>
        </w:rPr>
      </w:pPr>
      <w:hyperlink w:anchor="_Toc163127410" w:history="1">
        <w:r w:rsidR="00F57AA6" w:rsidRPr="0075224A">
          <w:rPr>
            <w:rStyle w:val="Collegamentoipertestuale"/>
            <w:rFonts w:eastAsia="Times"/>
            <w:noProof/>
          </w:rPr>
          <w:t>4.1</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Attività di validazione svolta</w:t>
        </w:r>
        <w:r w:rsidR="00F57AA6">
          <w:rPr>
            <w:noProof/>
            <w:webHidden/>
          </w:rPr>
          <w:tab/>
        </w:r>
        <w:r w:rsidR="00F57AA6">
          <w:rPr>
            <w:noProof/>
            <w:webHidden/>
          </w:rPr>
          <w:fldChar w:fldCharType="begin"/>
        </w:r>
        <w:r w:rsidR="00F57AA6">
          <w:rPr>
            <w:noProof/>
            <w:webHidden/>
          </w:rPr>
          <w:instrText xml:space="preserve"> PAGEREF _Toc163127410 \h </w:instrText>
        </w:r>
        <w:r w:rsidR="00F57AA6">
          <w:rPr>
            <w:noProof/>
            <w:webHidden/>
          </w:rPr>
        </w:r>
        <w:r w:rsidR="00F57AA6">
          <w:rPr>
            <w:noProof/>
            <w:webHidden/>
          </w:rPr>
          <w:fldChar w:fldCharType="separate"/>
        </w:r>
        <w:r w:rsidR="00F57AA6">
          <w:rPr>
            <w:noProof/>
            <w:webHidden/>
          </w:rPr>
          <w:t>5</w:t>
        </w:r>
        <w:r w:rsidR="00F57AA6">
          <w:rPr>
            <w:noProof/>
            <w:webHidden/>
          </w:rPr>
          <w:fldChar w:fldCharType="end"/>
        </w:r>
      </w:hyperlink>
    </w:p>
    <w:p w14:paraId="0FFF18C8" w14:textId="24E5DF24" w:rsidR="00F57AA6" w:rsidRDefault="000E440F">
      <w:pPr>
        <w:pStyle w:val="Sommario2"/>
        <w:rPr>
          <w:rFonts w:asciiTheme="minorHAnsi" w:eastAsiaTheme="minorEastAsia" w:hAnsiTheme="minorHAnsi" w:cstheme="minorBidi"/>
          <w:noProof/>
          <w:kern w:val="2"/>
          <w:sz w:val="24"/>
          <w14:ligatures w14:val="standardContextual"/>
        </w:rPr>
      </w:pPr>
      <w:hyperlink w:anchor="_Toc163127411" w:history="1">
        <w:r w:rsidR="00F57AA6" w:rsidRPr="0075224A">
          <w:rPr>
            <w:rStyle w:val="Collegamentoipertestuale"/>
            <w:rFonts w:eastAsia="Times"/>
            <w:noProof/>
          </w:rPr>
          <w:t>4.2</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Rettifiche di validazione</w:t>
        </w:r>
        <w:r w:rsidR="00F57AA6">
          <w:rPr>
            <w:noProof/>
            <w:webHidden/>
          </w:rPr>
          <w:tab/>
        </w:r>
        <w:r w:rsidR="00F57AA6">
          <w:rPr>
            <w:noProof/>
            <w:webHidden/>
          </w:rPr>
          <w:fldChar w:fldCharType="begin"/>
        </w:r>
        <w:r w:rsidR="00F57AA6">
          <w:rPr>
            <w:noProof/>
            <w:webHidden/>
          </w:rPr>
          <w:instrText xml:space="preserve"> PAGEREF _Toc163127411 \h </w:instrText>
        </w:r>
        <w:r w:rsidR="00F57AA6">
          <w:rPr>
            <w:noProof/>
            <w:webHidden/>
          </w:rPr>
        </w:r>
        <w:r w:rsidR="00F57AA6">
          <w:rPr>
            <w:noProof/>
            <w:webHidden/>
          </w:rPr>
          <w:fldChar w:fldCharType="separate"/>
        </w:r>
        <w:r w:rsidR="00F57AA6">
          <w:rPr>
            <w:noProof/>
            <w:webHidden/>
          </w:rPr>
          <w:t>5</w:t>
        </w:r>
        <w:r w:rsidR="00F57AA6">
          <w:rPr>
            <w:noProof/>
            <w:webHidden/>
          </w:rPr>
          <w:fldChar w:fldCharType="end"/>
        </w:r>
      </w:hyperlink>
    </w:p>
    <w:p w14:paraId="48667956" w14:textId="76FC97E8" w:rsidR="00F57AA6" w:rsidRDefault="000E440F">
      <w:pPr>
        <w:pStyle w:val="Sommario1"/>
        <w:rPr>
          <w:rFonts w:asciiTheme="minorHAnsi" w:eastAsiaTheme="minorEastAsia" w:hAnsiTheme="minorHAnsi" w:cstheme="minorBidi"/>
          <w:b w:val="0"/>
          <w:kern w:val="2"/>
          <w:sz w:val="24"/>
          <w14:ligatures w14:val="standardContextual"/>
        </w:rPr>
      </w:pPr>
      <w:hyperlink w:anchor="_Toc163127412" w:history="1">
        <w:r w:rsidR="00F57AA6" w:rsidRPr="0075224A">
          <w:rPr>
            <w:rStyle w:val="Collegamentoipertestuale"/>
          </w:rPr>
          <w:t>5</w:t>
        </w:r>
        <w:r w:rsidR="00F57AA6">
          <w:rPr>
            <w:rFonts w:asciiTheme="minorHAnsi" w:eastAsiaTheme="minorEastAsia" w:hAnsiTheme="minorHAnsi" w:cstheme="minorBidi"/>
            <w:b w:val="0"/>
            <w:kern w:val="2"/>
            <w:sz w:val="24"/>
            <w14:ligatures w14:val="standardContextual"/>
          </w:rPr>
          <w:tab/>
        </w:r>
        <w:r w:rsidR="00F57AA6" w:rsidRPr="0075224A">
          <w:rPr>
            <w:rStyle w:val="Collegamentoipertestuale"/>
          </w:rPr>
          <w:t>Valutazioni di competenza dell’Ente territorialmente competente (ETC)</w:t>
        </w:r>
        <w:r w:rsidR="00F57AA6">
          <w:rPr>
            <w:webHidden/>
          </w:rPr>
          <w:tab/>
        </w:r>
        <w:r w:rsidR="00F57AA6">
          <w:rPr>
            <w:webHidden/>
          </w:rPr>
          <w:fldChar w:fldCharType="begin"/>
        </w:r>
        <w:r w:rsidR="00F57AA6">
          <w:rPr>
            <w:webHidden/>
          </w:rPr>
          <w:instrText xml:space="preserve"> PAGEREF _Toc163127412 \h </w:instrText>
        </w:r>
        <w:r w:rsidR="00F57AA6">
          <w:rPr>
            <w:webHidden/>
          </w:rPr>
        </w:r>
        <w:r w:rsidR="00F57AA6">
          <w:rPr>
            <w:webHidden/>
          </w:rPr>
          <w:fldChar w:fldCharType="separate"/>
        </w:r>
        <w:r w:rsidR="00F57AA6">
          <w:rPr>
            <w:webHidden/>
          </w:rPr>
          <w:t>5</w:t>
        </w:r>
        <w:r w:rsidR="00F57AA6">
          <w:rPr>
            <w:webHidden/>
          </w:rPr>
          <w:fldChar w:fldCharType="end"/>
        </w:r>
      </w:hyperlink>
    </w:p>
    <w:p w14:paraId="1E49B96D" w14:textId="3A8D7894" w:rsidR="00F57AA6" w:rsidRDefault="000E440F">
      <w:pPr>
        <w:pStyle w:val="Sommario2"/>
        <w:rPr>
          <w:rFonts w:asciiTheme="minorHAnsi" w:eastAsiaTheme="minorEastAsia" w:hAnsiTheme="minorHAnsi" w:cstheme="minorBidi"/>
          <w:noProof/>
          <w:kern w:val="2"/>
          <w:sz w:val="24"/>
          <w14:ligatures w14:val="standardContextual"/>
        </w:rPr>
      </w:pPr>
      <w:hyperlink w:anchor="_Toc163127413" w:history="1">
        <w:r w:rsidR="00F57AA6" w:rsidRPr="0075224A">
          <w:rPr>
            <w:rStyle w:val="Collegamentoipertestuale"/>
            <w:rFonts w:eastAsia="Times"/>
            <w:noProof/>
          </w:rPr>
          <w:t>5.1</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Limite alla crescita annuale delle entrate tariffarie</w:t>
        </w:r>
        <w:r w:rsidR="00F57AA6">
          <w:rPr>
            <w:noProof/>
            <w:webHidden/>
          </w:rPr>
          <w:tab/>
        </w:r>
        <w:r w:rsidR="00F57AA6">
          <w:rPr>
            <w:noProof/>
            <w:webHidden/>
          </w:rPr>
          <w:fldChar w:fldCharType="begin"/>
        </w:r>
        <w:r w:rsidR="00F57AA6">
          <w:rPr>
            <w:noProof/>
            <w:webHidden/>
          </w:rPr>
          <w:instrText xml:space="preserve"> PAGEREF _Toc163127413 \h </w:instrText>
        </w:r>
        <w:r w:rsidR="00F57AA6">
          <w:rPr>
            <w:noProof/>
            <w:webHidden/>
          </w:rPr>
        </w:r>
        <w:r w:rsidR="00F57AA6">
          <w:rPr>
            <w:noProof/>
            <w:webHidden/>
          </w:rPr>
          <w:fldChar w:fldCharType="separate"/>
        </w:r>
        <w:r w:rsidR="00F57AA6">
          <w:rPr>
            <w:noProof/>
            <w:webHidden/>
          </w:rPr>
          <w:t>5</w:t>
        </w:r>
        <w:r w:rsidR="00F57AA6">
          <w:rPr>
            <w:noProof/>
            <w:webHidden/>
          </w:rPr>
          <w:fldChar w:fldCharType="end"/>
        </w:r>
      </w:hyperlink>
    </w:p>
    <w:p w14:paraId="0D5B54A1" w14:textId="76744599" w:rsidR="00F57AA6" w:rsidRDefault="000E440F">
      <w:pPr>
        <w:pStyle w:val="Sommario3"/>
        <w:tabs>
          <w:tab w:val="left" w:pos="1871"/>
        </w:tabs>
        <w:rPr>
          <w:rFonts w:asciiTheme="minorHAnsi" w:eastAsiaTheme="minorEastAsia" w:hAnsiTheme="minorHAnsi" w:cstheme="minorBidi"/>
          <w:noProof/>
          <w:kern w:val="2"/>
          <w:sz w:val="24"/>
          <w14:ligatures w14:val="standardContextual"/>
        </w:rPr>
      </w:pPr>
      <w:hyperlink w:anchor="_Toc163127414" w:history="1">
        <w:r w:rsidR="00F57AA6" w:rsidRPr="0075224A">
          <w:rPr>
            <w:rStyle w:val="Collegamentoipertestuale"/>
            <w:rFonts w:eastAsia="Times"/>
            <w:noProof/>
          </w:rPr>
          <w:t>5.1.1</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Coefficiente di recupero di produttività</w:t>
        </w:r>
        <w:r w:rsidR="00F57AA6">
          <w:rPr>
            <w:noProof/>
            <w:webHidden/>
          </w:rPr>
          <w:tab/>
        </w:r>
        <w:r w:rsidR="00F57AA6">
          <w:rPr>
            <w:noProof/>
            <w:webHidden/>
          </w:rPr>
          <w:fldChar w:fldCharType="begin"/>
        </w:r>
        <w:r w:rsidR="00F57AA6">
          <w:rPr>
            <w:noProof/>
            <w:webHidden/>
          </w:rPr>
          <w:instrText xml:space="preserve"> PAGEREF _Toc163127414 \h </w:instrText>
        </w:r>
        <w:r w:rsidR="00F57AA6">
          <w:rPr>
            <w:noProof/>
            <w:webHidden/>
          </w:rPr>
        </w:r>
        <w:r w:rsidR="00F57AA6">
          <w:rPr>
            <w:noProof/>
            <w:webHidden/>
          </w:rPr>
          <w:fldChar w:fldCharType="separate"/>
        </w:r>
        <w:r w:rsidR="00F57AA6">
          <w:rPr>
            <w:noProof/>
            <w:webHidden/>
          </w:rPr>
          <w:t>6</w:t>
        </w:r>
        <w:r w:rsidR="00F57AA6">
          <w:rPr>
            <w:noProof/>
            <w:webHidden/>
          </w:rPr>
          <w:fldChar w:fldCharType="end"/>
        </w:r>
      </w:hyperlink>
    </w:p>
    <w:p w14:paraId="03CA69A7" w14:textId="3BB0458C" w:rsidR="00F57AA6" w:rsidRDefault="000E440F">
      <w:pPr>
        <w:pStyle w:val="Sommario3"/>
        <w:tabs>
          <w:tab w:val="left" w:pos="1871"/>
        </w:tabs>
        <w:rPr>
          <w:rFonts w:asciiTheme="minorHAnsi" w:eastAsiaTheme="minorEastAsia" w:hAnsiTheme="minorHAnsi" w:cstheme="minorBidi"/>
          <w:noProof/>
          <w:kern w:val="2"/>
          <w:sz w:val="24"/>
          <w14:ligatures w14:val="standardContextual"/>
        </w:rPr>
      </w:pPr>
      <w:hyperlink w:anchor="_Toc163127415" w:history="1">
        <w:r w:rsidR="00F57AA6" w:rsidRPr="0075224A">
          <w:rPr>
            <w:rStyle w:val="Collegamentoipertestuale"/>
            <w:rFonts w:eastAsia="Times"/>
            <w:noProof/>
          </w:rPr>
          <w:t>5.1.2</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 xml:space="preserve">Coefficienti </w:t>
        </w:r>
        <m:oMath>
          <m:r>
            <m:rPr>
              <m:sty m:val="bi"/>
            </m:rPr>
            <w:rPr>
              <w:rStyle w:val="Collegamentoipertestuale"/>
              <w:rFonts w:ascii="Cambria Math" w:eastAsia="Times" w:hAnsi="Cambria Math"/>
              <w:noProof/>
            </w:rPr>
            <m:t>QL</m:t>
          </m:r>
        </m:oMath>
        <w:r w:rsidR="00F57AA6" w:rsidRPr="0075224A">
          <w:rPr>
            <w:rStyle w:val="Collegamentoipertestuale"/>
            <w:rFonts w:eastAsia="Times"/>
            <w:noProof/>
          </w:rPr>
          <w:t xml:space="preserve"> (variazioni delle caratteristiche del servizio) e </w:t>
        </w:r>
        <m:oMath>
          <m:r>
            <m:rPr>
              <m:sty m:val="bi"/>
            </m:rPr>
            <w:rPr>
              <w:rStyle w:val="Collegamentoipertestuale"/>
              <w:rFonts w:ascii="Cambria Math" w:eastAsia="Times" w:hAnsi="Cambria Math"/>
              <w:noProof/>
            </w:rPr>
            <m:t>PG</m:t>
          </m:r>
        </m:oMath>
        <w:r w:rsidR="00F57AA6" w:rsidRPr="0075224A">
          <w:rPr>
            <w:rStyle w:val="Collegamentoipertestuale"/>
            <w:rFonts w:eastAsia="Times"/>
            <w:noProof/>
          </w:rPr>
          <w:t xml:space="preserve"> (variazioni di perimetro gestionale)</w:t>
        </w:r>
        <w:r w:rsidR="00F57AA6">
          <w:rPr>
            <w:noProof/>
            <w:webHidden/>
          </w:rPr>
          <w:tab/>
        </w:r>
        <w:r w:rsidR="00F57AA6">
          <w:rPr>
            <w:noProof/>
            <w:webHidden/>
          </w:rPr>
          <w:fldChar w:fldCharType="begin"/>
        </w:r>
        <w:r w:rsidR="00F57AA6">
          <w:rPr>
            <w:noProof/>
            <w:webHidden/>
          </w:rPr>
          <w:instrText xml:space="preserve"> PAGEREF _Toc163127415 \h </w:instrText>
        </w:r>
        <w:r w:rsidR="00F57AA6">
          <w:rPr>
            <w:noProof/>
            <w:webHidden/>
          </w:rPr>
        </w:r>
        <w:r w:rsidR="00F57AA6">
          <w:rPr>
            <w:noProof/>
            <w:webHidden/>
          </w:rPr>
          <w:fldChar w:fldCharType="separate"/>
        </w:r>
        <w:r w:rsidR="00F57AA6">
          <w:rPr>
            <w:noProof/>
            <w:webHidden/>
          </w:rPr>
          <w:t>7</w:t>
        </w:r>
        <w:r w:rsidR="00F57AA6">
          <w:rPr>
            <w:noProof/>
            <w:webHidden/>
          </w:rPr>
          <w:fldChar w:fldCharType="end"/>
        </w:r>
      </w:hyperlink>
    </w:p>
    <w:p w14:paraId="0743D1E3" w14:textId="624450F1" w:rsidR="00F57AA6" w:rsidRDefault="000E440F">
      <w:pPr>
        <w:pStyle w:val="Sommario3"/>
        <w:tabs>
          <w:tab w:val="left" w:pos="1871"/>
        </w:tabs>
        <w:rPr>
          <w:rFonts w:asciiTheme="minorHAnsi" w:eastAsiaTheme="minorEastAsia" w:hAnsiTheme="minorHAnsi" w:cstheme="minorBidi"/>
          <w:noProof/>
          <w:kern w:val="2"/>
          <w:sz w:val="24"/>
          <w14:ligatures w14:val="standardContextual"/>
        </w:rPr>
      </w:pPr>
      <w:hyperlink w:anchor="_Toc163127416" w:history="1">
        <w:r w:rsidR="00F57AA6" w:rsidRPr="0075224A">
          <w:rPr>
            <w:rStyle w:val="Collegamentoipertestuale"/>
            <w:rFonts w:eastAsia="Times"/>
            <w:noProof/>
          </w:rPr>
          <w:t>5.1.3</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 xml:space="preserve">Coefficiente </w:t>
        </w:r>
        <m:oMath>
          <m:r>
            <m:rPr>
              <m:sty m:val="bi"/>
            </m:rPr>
            <w:rPr>
              <w:rStyle w:val="Collegamentoipertestuale"/>
              <w:rFonts w:ascii="Cambria Math" w:eastAsia="Times" w:hAnsi="Cambria Math"/>
              <w:noProof/>
            </w:rPr>
            <m:t>C</m:t>
          </m:r>
          <m:r>
            <m:rPr>
              <m:sty m:val="bi"/>
            </m:rPr>
            <w:rPr>
              <w:rStyle w:val="Collegamentoipertestuale"/>
              <w:rFonts w:ascii="Cambria Math" w:eastAsia="Times" w:hAnsi="Cambria Math"/>
              <w:noProof/>
            </w:rPr>
            <m:t>116</m:t>
          </m:r>
        </m:oMath>
        <w:r w:rsidR="00F57AA6">
          <w:rPr>
            <w:noProof/>
            <w:webHidden/>
          </w:rPr>
          <w:tab/>
        </w:r>
        <w:r w:rsidR="00F57AA6">
          <w:rPr>
            <w:noProof/>
            <w:webHidden/>
          </w:rPr>
          <w:fldChar w:fldCharType="begin"/>
        </w:r>
        <w:r w:rsidR="00F57AA6">
          <w:rPr>
            <w:noProof/>
            <w:webHidden/>
          </w:rPr>
          <w:instrText xml:space="preserve"> PAGEREF _Toc163127416 \h </w:instrText>
        </w:r>
        <w:r w:rsidR="00F57AA6">
          <w:rPr>
            <w:noProof/>
            <w:webHidden/>
          </w:rPr>
        </w:r>
        <w:r w:rsidR="00F57AA6">
          <w:rPr>
            <w:noProof/>
            <w:webHidden/>
          </w:rPr>
          <w:fldChar w:fldCharType="separate"/>
        </w:r>
        <w:r w:rsidR="00F57AA6">
          <w:rPr>
            <w:noProof/>
            <w:webHidden/>
          </w:rPr>
          <w:t>9</w:t>
        </w:r>
        <w:r w:rsidR="00F57AA6">
          <w:rPr>
            <w:noProof/>
            <w:webHidden/>
          </w:rPr>
          <w:fldChar w:fldCharType="end"/>
        </w:r>
      </w:hyperlink>
    </w:p>
    <w:p w14:paraId="4FD79701" w14:textId="035F5D0D" w:rsidR="00F57AA6" w:rsidRDefault="000E440F">
      <w:pPr>
        <w:pStyle w:val="Sommario3"/>
        <w:tabs>
          <w:tab w:val="left" w:pos="1871"/>
        </w:tabs>
        <w:rPr>
          <w:rFonts w:asciiTheme="minorHAnsi" w:eastAsiaTheme="minorEastAsia" w:hAnsiTheme="minorHAnsi" w:cstheme="minorBidi"/>
          <w:noProof/>
          <w:kern w:val="2"/>
          <w:sz w:val="24"/>
          <w14:ligatures w14:val="standardContextual"/>
        </w:rPr>
      </w:pPr>
      <w:hyperlink w:anchor="_Toc163127417" w:history="1">
        <w:r w:rsidR="00F57AA6" w:rsidRPr="0075224A">
          <w:rPr>
            <w:rStyle w:val="Collegamentoipertestuale"/>
            <w:rFonts w:eastAsia="Times"/>
            <w:noProof/>
          </w:rPr>
          <w:t>5.1.4</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 xml:space="preserve">Coefficiente </w:t>
        </w:r>
        <m:oMath>
          <m:r>
            <m:rPr>
              <m:sty m:val="bi"/>
            </m:rPr>
            <w:rPr>
              <w:rStyle w:val="Collegamentoipertestuale"/>
              <w:rFonts w:ascii="Cambria Math" w:eastAsia="Times" w:hAnsi="Cambria Math"/>
              <w:noProof/>
            </w:rPr>
            <m:t>CRI</m:t>
          </m:r>
        </m:oMath>
        <w:r w:rsidR="00F57AA6">
          <w:rPr>
            <w:noProof/>
            <w:webHidden/>
          </w:rPr>
          <w:tab/>
        </w:r>
        <w:r w:rsidR="00F57AA6">
          <w:rPr>
            <w:noProof/>
            <w:webHidden/>
          </w:rPr>
          <w:fldChar w:fldCharType="begin"/>
        </w:r>
        <w:r w:rsidR="00F57AA6">
          <w:rPr>
            <w:noProof/>
            <w:webHidden/>
          </w:rPr>
          <w:instrText xml:space="preserve"> PAGEREF _Toc163127417 \h </w:instrText>
        </w:r>
        <w:r w:rsidR="00F57AA6">
          <w:rPr>
            <w:noProof/>
            <w:webHidden/>
          </w:rPr>
        </w:r>
        <w:r w:rsidR="00F57AA6">
          <w:rPr>
            <w:noProof/>
            <w:webHidden/>
          </w:rPr>
          <w:fldChar w:fldCharType="separate"/>
        </w:r>
        <w:r w:rsidR="00F57AA6">
          <w:rPr>
            <w:noProof/>
            <w:webHidden/>
          </w:rPr>
          <w:t>9</w:t>
        </w:r>
        <w:r w:rsidR="00F57AA6">
          <w:rPr>
            <w:noProof/>
            <w:webHidden/>
          </w:rPr>
          <w:fldChar w:fldCharType="end"/>
        </w:r>
      </w:hyperlink>
    </w:p>
    <w:p w14:paraId="1CC8DB48" w14:textId="7984AE17" w:rsidR="00F57AA6" w:rsidRDefault="000E440F">
      <w:pPr>
        <w:pStyle w:val="Sommario3"/>
        <w:tabs>
          <w:tab w:val="left" w:pos="1871"/>
        </w:tabs>
        <w:rPr>
          <w:rFonts w:asciiTheme="minorHAnsi" w:eastAsiaTheme="minorEastAsia" w:hAnsiTheme="minorHAnsi" w:cstheme="minorBidi"/>
          <w:noProof/>
          <w:kern w:val="2"/>
          <w:sz w:val="24"/>
          <w14:ligatures w14:val="standardContextual"/>
        </w:rPr>
      </w:pPr>
      <w:hyperlink w:anchor="_Toc163127418" w:history="1">
        <w:r w:rsidR="00F57AA6" w:rsidRPr="0075224A">
          <w:rPr>
            <w:rStyle w:val="Collegamentoipertestuale"/>
            <w:rFonts w:eastAsia="Times"/>
            <w:noProof/>
          </w:rPr>
          <w:t>5.1.5</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Conclusioni sul limite alla crescita</w:t>
        </w:r>
        <w:r w:rsidR="00F57AA6">
          <w:rPr>
            <w:noProof/>
            <w:webHidden/>
          </w:rPr>
          <w:tab/>
        </w:r>
        <w:r w:rsidR="00F57AA6">
          <w:rPr>
            <w:noProof/>
            <w:webHidden/>
          </w:rPr>
          <w:fldChar w:fldCharType="begin"/>
        </w:r>
        <w:r w:rsidR="00F57AA6">
          <w:rPr>
            <w:noProof/>
            <w:webHidden/>
          </w:rPr>
          <w:instrText xml:space="preserve"> PAGEREF _Toc163127418 \h </w:instrText>
        </w:r>
        <w:r w:rsidR="00F57AA6">
          <w:rPr>
            <w:noProof/>
            <w:webHidden/>
          </w:rPr>
        </w:r>
        <w:r w:rsidR="00F57AA6">
          <w:rPr>
            <w:noProof/>
            <w:webHidden/>
          </w:rPr>
          <w:fldChar w:fldCharType="separate"/>
        </w:r>
        <w:r w:rsidR="00F57AA6">
          <w:rPr>
            <w:noProof/>
            <w:webHidden/>
          </w:rPr>
          <w:t>9</w:t>
        </w:r>
        <w:r w:rsidR="00F57AA6">
          <w:rPr>
            <w:noProof/>
            <w:webHidden/>
          </w:rPr>
          <w:fldChar w:fldCharType="end"/>
        </w:r>
      </w:hyperlink>
    </w:p>
    <w:p w14:paraId="60910B6E" w14:textId="24B73A8E" w:rsidR="00F57AA6" w:rsidRDefault="000E440F">
      <w:pPr>
        <w:pStyle w:val="Sommario2"/>
        <w:rPr>
          <w:rFonts w:asciiTheme="minorHAnsi" w:eastAsiaTheme="minorEastAsia" w:hAnsiTheme="minorHAnsi" w:cstheme="minorBidi"/>
          <w:noProof/>
          <w:kern w:val="2"/>
          <w:sz w:val="24"/>
          <w14:ligatures w14:val="standardContextual"/>
        </w:rPr>
      </w:pPr>
      <w:hyperlink w:anchor="_Toc163127419" w:history="1">
        <w:r w:rsidR="00F57AA6" w:rsidRPr="0075224A">
          <w:rPr>
            <w:rStyle w:val="Collegamentoipertestuale"/>
            <w:rFonts w:eastAsia="Times"/>
            <w:noProof/>
          </w:rPr>
          <w:t>5.2</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Costi operativi di gestione associati a specifiche finalità</w:t>
        </w:r>
        <w:r w:rsidR="00F57AA6">
          <w:rPr>
            <w:noProof/>
            <w:webHidden/>
          </w:rPr>
          <w:tab/>
        </w:r>
        <w:r w:rsidR="00F57AA6">
          <w:rPr>
            <w:noProof/>
            <w:webHidden/>
          </w:rPr>
          <w:fldChar w:fldCharType="begin"/>
        </w:r>
        <w:r w:rsidR="00F57AA6">
          <w:rPr>
            <w:noProof/>
            <w:webHidden/>
          </w:rPr>
          <w:instrText xml:space="preserve"> PAGEREF _Toc163127419 \h </w:instrText>
        </w:r>
        <w:r w:rsidR="00F57AA6">
          <w:rPr>
            <w:noProof/>
            <w:webHidden/>
          </w:rPr>
        </w:r>
        <w:r w:rsidR="00F57AA6">
          <w:rPr>
            <w:noProof/>
            <w:webHidden/>
          </w:rPr>
          <w:fldChar w:fldCharType="separate"/>
        </w:r>
        <w:r w:rsidR="00F57AA6">
          <w:rPr>
            <w:noProof/>
            <w:webHidden/>
          </w:rPr>
          <w:t>11</w:t>
        </w:r>
        <w:r w:rsidR="00F57AA6">
          <w:rPr>
            <w:noProof/>
            <w:webHidden/>
          </w:rPr>
          <w:fldChar w:fldCharType="end"/>
        </w:r>
      </w:hyperlink>
    </w:p>
    <w:p w14:paraId="37707698" w14:textId="67578CDF" w:rsidR="00F57AA6" w:rsidRDefault="000E440F">
      <w:pPr>
        <w:pStyle w:val="Sommario3"/>
        <w:tabs>
          <w:tab w:val="left" w:pos="1871"/>
        </w:tabs>
        <w:rPr>
          <w:rFonts w:asciiTheme="minorHAnsi" w:eastAsiaTheme="minorEastAsia" w:hAnsiTheme="minorHAnsi" w:cstheme="minorBidi"/>
          <w:noProof/>
          <w:kern w:val="2"/>
          <w:sz w:val="24"/>
          <w14:ligatures w14:val="standardContextual"/>
        </w:rPr>
      </w:pPr>
      <w:hyperlink w:anchor="_Toc163127420" w:history="1">
        <w:r w:rsidR="00F57AA6" w:rsidRPr="0075224A">
          <w:rPr>
            <w:rStyle w:val="Collegamentoipertestuale"/>
            <w:rFonts w:eastAsia="Times"/>
            <w:noProof/>
          </w:rPr>
          <w:t>5.2.1</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 xml:space="preserve">Componente previsionale </w:t>
        </w:r>
        <m:oMath>
          <m:r>
            <m:rPr>
              <m:sty m:val="bi"/>
            </m:rPr>
            <w:rPr>
              <w:rStyle w:val="Collegamentoipertestuale"/>
              <w:rFonts w:ascii="Cambria Math" w:eastAsia="Times" w:hAnsi="Cambria Math"/>
              <w:noProof/>
            </w:rPr>
            <m:t>CO</m:t>
          </m:r>
          <m:r>
            <m:rPr>
              <m:sty m:val="bi"/>
            </m:rPr>
            <w:rPr>
              <w:rStyle w:val="Collegamentoipertestuale"/>
              <w:rFonts w:ascii="Cambria Math" w:eastAsia="Times" w:hAnsi="Cambria Math"/>
              <w:noProof/>
            </w:rPr>
            <m:t>116</m:t>
          </m:r>
        </m:oMath>
        <w:r w:rsidR="00F57AA6">
          <w:rPr>
            <w:noProof/>
            <w:webHidden/>
          </w:rPr>
          <w:tab/>
        </w:r>
        <w:r w:rsidR="00F57AA6">
          <w:rPr>
            <w:noProof/>
            <w:webHidden/>
          </w:rPr>
          <w:fldChar w:fldCharType="begin"/>
        </w:r>
        <w:r w:rsidR="00F57AA6">
          <w:rPr>
            <w:noProof/>
            <w:webHidden/>
          </w:rPr>
          <w:instrText xml:space="preserve"> PAGEREF _Toc163127420 \h </w:instrText>
        </w:r>
        <w:r w:rsidR="00F57AA6">
          <w:rPr>
            <w:noProof/>
            <w:webHidden/>
          </w:rPr>
        </w:r>
        <w:r w:rsidR="00F57AA6">
          <w:rPr>
            <w:noProof/>
            <w:webHidden/>
          </w:rPr>
          <w:fldChar w:fldCharType="separate"/>
        </w:r>
        <w:r w:rsidR="00F57AA6">
          <w:rPr>
            <w:noProof/>
            <w:webHidden/>
          </w:rPr>
          <w:t>11</w:t>
        </w:r>
        <w:r w:rsidR="00F57AA6">
          <w:rPr>
            <w:noProof/>
            <w:webHidden/>
          </w:rPr>
          <w:fldChar w:fldCharType="end"/>
        </w:r>
      </w:hyperlink>
    </w:p>
    <w:p w14:paraId="708273D1" w14:textId="41D97D1E" w:rsidR="00F57AA6" w:rsidRDefault="000E440F">
      <w:pPr>
        <w:pStyle w:val="Sommario3"/>
        <w:tabs>
          <w:tab w:val="left" w:pos="1871"/>
        </w:tabs>
        <w:rPr>
          <w:rFonts w:asciiTheme="minorHAnsi" w:eastAsiaTheme="minorEastAsia" w:hAnsiTheme="minorHAnsi" w:cstheme="minorBidi"/>
          <w:noProof/>
          <w:kern w:val="2"/>
          <w:sz w:val="24"/>
          <w14:ligatures w14:val="standardContextual"/>
        </w:rPr>
      </w:pPr>
      <w:hyperlink w:anchor="_Toc163127421" w:history="1">
        <w:r w:rsidR="00F57AA6" w:rsidRPr="0075224A">
          <w:rPr>
            <w:rStyle w:val="Collegamentoipertestuale"/>
            <w:rFonts w:eastAsia="Times"/>
            <w:noProof/>
          </w:rPr>
          <w:t>5.2.2</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 xml:space="preserve">Componente previsionale </w:t>
        </w:r>
        <m:oMath>
          <m:r>
            <m:rPr>
              <m:sty m:val="bi"/>
            </m:rPr>
            <w:rPr>
              <w:rStyle w:val="Collegamentoipertestuale"/>
              <w:rFonts w:ascii="Cambria Math" w:eastAsia="Times" w:hAnsi="Cambria Math"/>
              <w:noProof/>
            </w:rPr>
            <m:t>CQ</m:t>
          </m:r>
        </m:oMath>
        <w:r w:rsidR="00F57AA6">
          <w:rPr>
            <w:noProof/>
            <w:webHidden/>
          </w:rPr>
          <w:tab/>
        </w:r>
        <w:r w:rsidR="00F57AA6">
          <w:rPr>
            <w:noProof/>
            <w:webHidden/>
          </w:rPr>
          <w:fldChar w:fldCharType="begin"/>
        </w:r>
        <w:r w:rsidR="00F57AA6">
          <w:rPr>
            <w:noProof/>
            <w:webHidden/>
          </w:rPr>
          <w:instrText xml:space="preserve"> PAGEREF _Toc163127421 \h </w:instrText>
        </w:r>
        <w:r w:rsidR="00F57AA6">
          <w:rPr>
            <w:noProof/>
            <w:webHidden/>
          </w:rPr>
        </w:r>
        <w:r w:rsidR="00F57AA6">
          <w:rPr>
            <w:noProof/>
            <w:webHidden/>
          </w:rPr>
          <w:fldChar w:fldCharType="separate"/>
        </w:r>
        <w:r w:rsidR="00F57AA6">
          <w:rPr>
            <w:noProof/>
            <w:webHidden/>
          </w:rPr>
          <w:t>11</w:t>
        </w:r>
        <w:r w:rsidR="00F57AA6">
          <w:rPr>
            <w:noProof/>
            <w:webHidden/>
          </w:rPr>
          <w:fldChar w:fldCharType="end"/>
        </w:r>
      </w:hyperlink>
    </w:p>
    <w:p w14:paraId="57A20785" w14:textId="7E90F58A" w:rsidR="00F57AA6" w:rsidRDefault="000E440F">
      <w:pPr>
        <w:pStyle w:val="Sommario3"/>
        <w:tabs>
          <w:tab w:val="left" w:pos="1871"/>
        </w:tabs>
        <w:rPr>
          <w:rFonts w:asciiTheme="minorHAnsi" w:eastAsiaTheme="minorEastAsia" w:hAnsiTheme="minorHAnsi" w:cstheme="minorBidi"/>
          <w:noProof/>
          <w:kern w:val="2"/>
          <w:sz w:val="24"/>
          <w14:ligatures w14:val="standardContextual"/>
        </w:rPr>
      </w:pPr>
      <w:hyperlink w:anchor="_Toc163127422" w:history="1">
        <w:r w:rsidR="00F57AA6" w:rsidRPr="0075224A">
          <w:rPr>
            <w:rStyle w:val="Collegamentoipertestuale"/>
            <w:rFonts w:eastAsia="Times"/>
            <w:noProof/>
          </w:rPr>
          <w:t>5.2.3</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 xml:space="preserve">Componente previsionale </w:t>
        </w:r>
        <w:r w:rsidR="00F57AA6" w:rsidRPr="0075224A">
          <w:rPr>
            <w:rStyle w:val="Collegamentoipertestuale"/>
            <w:rFonts w:ascii="Cambria Math" w:eastAsia="Times" w:hAnsi="Cambria Math"/>
            <w:i/>
            <w:noProof/>
          </w:rPr>
          <w:t>COI</w:t>
        </w:r>
        <w:r w:rsidR="00F57AA6">
          <w:rPr>
            <w:noProof/>
            <w:webHidden/>
          </w:rPr>
          <w:tab/>
        </w:r>
        <w:r w:rsidR="00F57AA6">
          <w:rPr>
            <w:noProof/>
            <w:webHidden/>
          </w:rPr>
          <w:fldChar w:fldCharType="begin"/>
        </w:r>
        <w:r w:rsidR="00F57AA6">
          <w:rPr>
            <w:noProof/>
            <w:webHidden/>
          </w:rPr>
          <w:instrText xml:space="preserve"> PAGEREF _Toc163127422 \h </w:instrText>
        </w:r>
        <w:r w:rsidR="00F57AA6">
          <w:rPr>
            <w:noProof/>
            <w:webHidden/>
          </w:rPr>
        </w:r>
        <w:r w:rsidR="00F57AA6">
          <w:rPr>
            <w:noProof/>
            <w:webHidden/>
          </w:rPr>
          <w:fldChar w:fldCharType="separate"/>
        </w:r>
        <w:r w:rsidR="00F57AA6">
          <w:rPr>
            <w:noProof/>
            <w:webHidden/>
          </w:rPr>
          <w:t>11</w:t>
        </w:r>
        <w:r w:rsidR="00F57AA6">
          <w:rPr>
            <w:noProof/>
            <w:webHidden/>
          </w:rPr>
          <w:fldChar w:fldCharType="end"/>
        </w:r>
      </w:hyperlink>
    </w:p>
    <w:p w14:paraId="7E07570C" w14:textId="6A8AB38B" w:rsidR="00F57AA6" w:rsidRDefault="000E440F">
      <w:pPr>
        <w:pStyle w:val="Sommario2"/>
        <w:rPr>
          <w:rFonts w:asciiTheme="minorHAnsi" w:eastAsiaTheme="minorEastAsia" w:hAnsiTheme="minorHAnsi" w:cstheme="minorBidi"/>
          <w:noProof/>
          <w:kern w:val="2"/>
          <w:sz w:val="24"/>
          <w14:ligatures w14:val="standardContextual"/>
        </w:rPr>
      </w:pPr>
      <w:hyperlink w:anchor="_Toc163127423" w:history="1">
        <w:r w:rsidR="00F57AA6" w:rsidRPr="0075224A">
          <w:rPr>
            <w:rStyle w:val="Collegamentoipertestuale"/>
            <w:rFonts w:eastAsia="Times"/>
            <w:noProof/>
          </w:rPr>
          <w:t>5.3</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Ammortamenti delle immobilizzazioni</w:t>
        </w:r>
        <w:r w:rsidR="00F57AA6">
          <w:rPr>
            <w:noProof/>
            <w:webHidden/>
          </w:rPr>
          <w:tab/>
        </w:r>
        <w:r w:rsidR="00F57AA6">
          <w:rPr>
            <w:noProof/>
            <w:webHidden/>
          </w:rPr>
          <w:fldChar w:fldCharType="begin"/>
        </w:r>
        <w:r w:rsidR="00F57AA6">
          <w:rPr>
            <w:noProof/>
            <w:webHidden/>
          </w:rPr>
          <w:instrText xml:space="preserve"> PAGEREF _Toc163127423 \h </w:instrText>
        </w:r>
        <w:r w:rsidR="00F57AA6">
          <w:rPr>
            <w:noProof/>
            <w:webHidden/>
          </w:rPr>
        </w:r>
        <w:r w:rsidR="00F57AA6">
          <w:rPr>
            <w:noProof/>
            <w:webHidden/>
          </w:rPr>
          <w:fldChar w:fldCharType="separate"/>
        </w:r>
        <w:r w:rsidR="00F57AA6">
          <w:rPr>
            <w:noProof/>
            <w:webHidden/>
          </w:rPr>
          <w:t>12</w:t>
        </w:r>
        <w:r w:rsidR="00F57AA6">
          <w:rPr>
            <w:noProof/>
            <w:webHidden/>
          </w:rPr>
          <w:fldChar w:fldCharType="end"/>
        </w:r>
      </w:hyperlink>
    </w:p>
    <w:p w14:paraId="7AA3707A" w14:textId="6951B5C8" w:rsidR="00F57AA6" w:rsidRDefault="000E440F">
      <w:pPr>
        <w:pStyle w:val="Sommario2"/>
        <w:rPr>
          <w:rFonts w:asciiTheme="minorHAnsi" w:eastAsiaTheme="minorEastAsia" w:hAnsiTheme="minorHAnsi" w:cstheme="minorBidi"/>
          <w:noProof/>
          <w:kern w:val="2"/>
          <w:sz w:val="24"/>
          <w14:ligatures w14:val="standardContextual"/>
        </w:rPr>
      </w:pPr>
      <w:hyperlink w:anchor="_Toc163127424" w:history="1">
        <w:r w:rsidR="00F57AA6" w:rsidRPr="0075224A">
          <w:rPr>
            <w:rStyle w:val="Collegamentoipertestuale"/>
            <w:rFonts w:eastAsia="Times"/>
            <w:noProof/>
          </w:rPr>
          <w:t>5.4</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 xml:space="preserve">Valorizzazione dei fattori di </w:t>
        </w:r>
        <w:r w:rsidR="00F57AA6" w:rsidRPr="0075224A">
          <w:rPr>
            <w:rStyle w:val="Collegamentoipertestuale"/>
            <w:rFonts w:eastAsia="Times"/>
            <w:i/>
            <w:noProof/>
          </w:rPr>
          <w:t>sharing</w:t>
        </w:r>
        <w:r w:rsidR="00F57AA6">
          <w:rPr>
            <w:noProof/>
            <w:webHidden/>
          </w:rPr>
          <w:tab/>
        </w:r>
        <w:r w:rsidR="00F57AA6">
          <w:rPr>
            <w:noProof/>
            <w:webHidden/>
          </w:rPr>
          <w:fldChar w:fldCharType="begin"/>
        </w:r>
        <w:r w:rsidR="00F57AA6">
          <w:rPr>
            <w:noProof/>
            <w:webHidden/>
          </w:rPr>
          <w:instrText xml:space="preserve"> PAGEREF _Toc163127424 \h </w:instrText>
        </w:r>
        <w:r w:rsidR="00F57AA6">
          <w:rPr>
            <w:noProof/>
            <w:webHidden/>
          </w:rPr>
        </w:r>
        <w:r w:rsidR="00F57AA6">
          <w:rPr>
            <w:noProof/>
            <w:webHidden/>
          </w:rPr>
          <w:fldChar w:fldCharType="separate"/>
        </w:r>
        <w:r w:rsidR="00F57AA6">
          <w:rPr>
            <w:noProof/>
            <w:webHidden/>
          </w:rPr>
          <w:t>12</w:t>
        </w:r>
        <w:r w:rsidR="00F57AA6">
          <w:rPr>
            <w:noProof/>
            <w:webHidden/>
          </w:rPr>
          <w:fldChar w:fldCharType="end"/>
        </w:r>
      </w:hyperlink>
    </w:p>
    <w:p w14:paraId="6B1EE1BE" w14:textId="6D6AE583" w:rsidR="00F57AA6" w:rsidRDefault="000E440F">
      <w:pPr>
        <w:pStyle w:val="Sommario3"/>
        <w:tabs>
          <w:tab w:val="left" w:pos="1871"/>
        </w:tabs>
        <w:rPr>
          <w:rFonts w:asciiTheme="minorHAnsi" w:eastAsiaTheme="minorEastAsia" w:hAnsiTheme="minorHAnsi" w:cstheme="minorBidi"/>
          <w:noProof/>
          <w:kern w:val="2"/>
          <w:sz w:val="24"/>
          <w14:ligatures w14:val="standardContextual"/>
        </w:rPr>
      </w:pPr>
      <w:hyperlink w:anchor="_Toc163127425" w:history="1">
        <w:r w:rsidR="00F57AA6" w:rsidRPr="0075224A">
          <w:rPr>
            <w:rStyle w:val="Collegamentoipertestuale"/>
            <w:rFonts w:eastAsia="Times"/>
            <w:noProof/>
          </w:rPr>
          <w:t>5.4.1</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 xml:space="preserve">Determinazione del fattore </w:t>
        </w:r>
        <w:r w:rsidR="00F57AA6" w:rsidRPr="0075224A">
          <w:rPr>
            <w:rStyle w:val="Collegamentoipertestuale"/>
            <w:rFonts w:eastAsia="Times"/>
            <w:i/>
            <w:noProof/>
          </w:rPr>
          <w:t>b</w:t>
        </w:r>
        <w:r w:rsidR="00F57AA6">
          <w:rPr>
            <w:noProof/>
            <w:webHidden/>
          </w:rPr>
          <w:tab/>
        </w:r>
        <w:r w:rsidR="00F57AA6">
          <w:rPr>
            <w:noProof/>
            <w:webHidden/>
          </w:rPr>
          <w:fldChar w:fldCharType="begin"/>
        </w:r>
        <w:r w:rsidR="00F57AA6">
          <w:rPr>
            <w:noProof/>
            <w:webHidden/>
          </w:rPr>
          <w:instrText xml:space="preserve"> PAGEREF _Toc163127425 \h </w:instrText>
        </w:r>
        <w:r w:rsidR="00F57AA6">
          <w:rPr>
            <w:noProof/>
            <w:webHidden/>
          </w:rPr>
        </w:r>
        <w:r w:rsidR="00F57AA6">
          <w:rPr>
            <w:noProof/>
            <w:webHidden/>
          </w:rPr>
          <w:fldChar w:fldCharType="separate"/>
        </w:r>
        <w:r w:rsidR="00F57AA6">
          <w:rPr>
            <w:noProof/>
            <w:webHidden/>
          </w:rPr>
          <w:t>13</w:t>
        </w:r>
        <w:r w:rsidR="00F57AA6">
          <w:rPr>
            <w:noProof/>
            <w:webHidden/>
          </w:rPr>
          <w:fldChar w:fldCharType="end"/>
        </w:r>
      </w:hyperlink>
    </w:p>
    <w:p w14:paraId="1AC725BE" w14:textId="006039E9" w:rsidR="00F57AA6" w:rsidRDefault="000E440F">
      <w:pPr>
        <w:pStyle w:val="Sommario3"/>
        <w:tabs>
          <w:tab w:val="left" w:pos="1871"/>
        </w:tabs>
        <w:rPr>
          <w:rFonts w:asciiTheme="minorHAnsi" w:eastAsiaTheme="minorEastAsia" w:hAnsiTheme="minorHAnsi" w:cstheme="minorBidi"/>
          <w:noProof/>
          <w:kern w:val="2"/>
          <w:sz w:val="24"/>
          <w14:ligatures w14:val="standardContextual"/>
        </w:rPr>
      </w:pPr>
      <w:hyperlink w:anchor="_Toc163127426" w:history="1">
        <w:r w:rsidR="00F57AA6" w:rsidRPr="0075224A">
          <w:rPr>
            <w:rStyle w:val="Collegamentoipertestuale"/>
            <w:rFonts w:eastAsia="Times"/>
            <w:noProof/>
          </w:rPr>
          <w:t>5.4.2</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 xml:space="preserve">Determinazione del fattore </w:t>
        </w:r>
        <w:r w:rsidR="00F57AA6" w:rsidRPr="0075224A">
          <w:rPr>
            <w:rStyle w:val="Collegamentoipertestuale"/>
            <w:rFonts w:eastAsia="Times"/>
            <w:i/>
            <w:noProof/>
          </w:rPr>
          <w:t>ω</w:t>
        </w:r>
        <w:r w:rsidR="00F57AA6">
          <w:rPr>
            <w:noProof/>
            <w:webHidden/>
          </w:rPr>
          <w:tab/>
        </w:r>
        <w:r w:rsidR="00F57AA6">
          <w:rPr>
            <w:noProof/>
            <w:webHidden/>
          </w:rPr>
          <w:fldChar w:fldCharType="begin"/>
        </w:r>
        <w:r w:rsidR="00F57AA6">
          <w:rPr>
            <w:noProof/>
            <w:webHidden/>
          </w:rPr>
          <w:instrText xml:space="preserve"> PAGEREF _Toc163127426 \h </w:instrText>
        </w:r>
        <w:r w:rsidR="00F57AA6">
          <w:rPr>
            <w:noProof/>
            <w:webHidden/>
          </w:rPr>
        </w:r>
        <w:r w:rsidR="00F57AA6">
          <w:rPr>
            <w:noProof/>
            <w:webHidden/>
          </w:rPr>
          <w:fldChar w:fldCharType="separate"/>
        </w:r>
        <w:r w:rsidR="00F57AA6">
          <w:rPr>
            <w:noProof/>
            <w:webHidden/>
          </w:rPr>
          <w:t>13</w:t>
        </w:r>
        <w:r w:rsidR="00F57AA6">
          <w:rPr>
            <w:noProof/>
            <w:webHidden/>
          </w:rPr>
          <w:fldChar w:fldCharType="end"/>
        </w:r>
      </w:hyperlink>
    </w:p>
    <w:p w14:paraId="64FFBD44" w14:textId="0D4DA0F8" w:rsidR="00F57AA6" w:rsidRDefault="000E440F">
      <w:pPr>
        <w:pStyle w:val="Sommario2"/>
        <w:rPr>
          <w:rFonts w:asciiTheme="minorHAnsi" w:eastAsiaTheme="minorEastAsia" w:hAnsiTheme="minorHAnsi" w:cstheme="minorBidi"/>
          <w:noProof/>
          <w:kern w:val="2"/>
          <w:sz w:val="24"/>
          <w14:ligatures w14:val="standardContextual"/>
        </w:rPr>
      </w:pPr>
      <w:hyperlink w:anchor="_Toc163127427" w:history="1">
        <w:r w:rsidR="00F57AA6" w:rsidRPr="0075224A">
          <w:rPr>
            <w:rStyle w:val="Collegamentoipertestuale"/>
            <w:rFonts w:eastAsia="Times"/>
            <w:noProof/>
          </w:rPr>
          <w:t>5.5</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Conguagli</w:t>
        </w:r>
        <w:r w:rsidR="00F57AA6">
          <w:rPr>
            <w:noProof/>
            <w:webHidden/>
          </w:rPr>
          <w:tab/>
        </w:r>
        <w:r w:rsidR="00F57AA6">
          <w:rPr>
            <w:noProof/>
            <w:webHidden/>
          </w:rPr>
          <w:fldChar w:fldCharType="begin"/>
        </w:r>
        <w:r w:rsidR="00F57AA6">
          <w:rPr>
            <w:noProof/>
            <w:webHidden/>
          </w:rPr>
          <w:instrText xml:space="preserve"> PAGEREF _Toc163127427 \h </w:instrText>
        </w:r>
        <w:r w:rsidR="00F57AA6">
          <w:rPr>
            <w:noProof/>
            <w:webHidden/>
          </w:rPr>
        </w:r>
        <w:r w:rsidR="00F57AA6">
          <w:rPr>
            <w:noProof/>
            <w:webHidden/>
          </w:rPr>
          <w:fldChar w:fldCharType="separate"/>
        </w:r>
        <w:r w:rsidR="00F57AA6">
          <w:rPr>
            <w:noProof/>
            <w:webHidden/>
          </w:rPr>
          <w:t>13</w:t>
        </w:r>
        <w:r w:rsidR="00F57AA6">
          <w:rPr>
            <w:noProof/>
            <w:webHidden/>
          </w:rPr>
          <w:fldChar w:fldCharType="end"/>
        </w:r>
      </w:hyperlink>
    </w:p>
    <w:p w14:paraId="420CD256" w14:textId="1AEC0CDB" w:rsidR="00F57AA6" w:rsidRDefault="000E440F">
      <w:pPr>
        <w:pStyle w:val="Sommario2"/>
        <w:rPr>
          <w:rFonts w:asciiTheme="minorHAnsi" w:eastAsiaTheme="minorEastAsia" w:hAnsiTheme="minorHAnsi" w:cstheme="minorBidi"/>
          <w:noProof/>
          <w:kern w:val="2"/>
          <w:sz w:val="24"/>
          <w14:ligatures w14:val="standardContextual"/>
        </w:rPr>
      </w:pPr>
      <w:hyperlink w:anchor="_Toc163127428" w:history="1">
        <w:r w:rsidR="00F57AA6" w:rsidRPr="0075224A">
          <w:rPr>
            <w:rStyle w:val="Collegamentoipertestuale"/>
            <w:rFonts w:eastAsia="Times"/>
            <w:noProof/>
          </w:rPr>
          <w:t>5.6</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Valutazioni in ordine all’equilibrio economico finanziario</w:t>
        </w:r>
        <w:r w:rsidR="00F57AA6">
          <w:rPr>
            <w:noProof/>
            <w:webHidden/>
          </w:rPr>
          <w:tab/>
        </w:r>
        <w:r w:rsidR="00F57AA6">
          <w:rPr>
            <w:noProof/>
            <w:webHidden/>
          </w:rPr>
          <w:fldChar w:fldCharType="begin"/>
        </w:r>
        <w:r w:rsidR="00F57AA6">
          <w:rPr>
            <w:noProof/>
            <w:webHidden/>
          </w:rPr>
          <w:instrText xml:space="preserve"> PAGEREF _Toc163127428 \h </w:instrText>
        </w:r>
        <w:r w:rsidR="00F57AA6">
          <w:rPr>
            <w:noProof/>
            <w:webHidden/>
          </w:rPr>
        </w:r>
        <w:r w:rsidR="00F57AA6">
          <w:rPr>
            <w:noProof/>
            <w:webHidden/>
          </w:rPr>
          <w:fldChar w:fldCharType="separate"/>
        </w:r>
        <w:r w:rsidR="00F57AA6">
          <w:rPr>
            <w:noProof/>
            <w:webHidden/>
          </w:rPr>
          <w:t>14</w:t>
        </w:r>
        <w:r w:rsidR="00F57AA6">
          <w:rPr>
            <w:noProof/>
            <w:webHidden/>
          </w:rPr>
          <w:fldChar w:fldCharType="end"/>
        </w:r>
      </w:hyperlink>
    </w:p>
    <w:p w14:paraId="00EE1805" w14:textId="17EC3B92" w:rsidR="00F57AA6" w:rsidRDefault="000E440F">
      <w:pPr>
        <w:pStyle w:val="Sommario2"/>
        <w:rPr>
          <w:rFonts w:asciiTheme="minorHAnsi" w:eastAsiaTheme="minorEastAsia" w:hAnsiTheme="minorHAnsi" w:cstheme="minorBidi"/>
          <w:noProof/>
          <w:kern w:val="2"/>
          <w:sz w:val="24"/>
          <w14:ligatures w14:val="standardContextual"/>
        </w:rPr>
      </w:pPr>
      <w:hyperlink w:anchor="_Toc163127429" w:history="1">
        <w:r w:rsidR="00F57AA6" w:rsidRPr="0075224A">
          <w:rPr>
            <w:rStyle w:val="Collegamentoipertestuale"/>
            <w:rFonts w:eastAsia="Times"/>
            <w:noProof/>
          </w:rPr>
          <w:t>5.7</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Rinuncia al riconoscimento di alcune componenti di costo</w:t>
        </w:r>
        <w:r w:rsidR="00F57AA6">
          <w:rPr>
            <w:noProof/>
            <w:webHidden/>
          </w:rPr>
          <w:tab/>
        </w:r>
        <w:r w:rsidR="00F57AA6">
          <w:rPr>
            <w:noProof/>
            <w:webHidden/>
          </w:rPr>
          <w:fldChar w:fldCharType="begin"/>
        </w:r>
        <w:r w:rsidR="00F57AA6">
          <w:rPr>
            <w:noProof/>
            <w:webHidden/>
          </w:rPr>
          <w:instrText xml:space="preserve"> PAGEREF _Toc163127429 \h </w:instrText>
        </w:r>
        <w:r w:rsidR="00F57AA6">
          <w:rPr>
            <w:noProof/>
            <w:webHidden/>
          </w:rPr>
        </w:r>
        <w:r w:rsidR="00F57AA6">
          <w:rPr>
            <w:noProof/>
            <w:webHidden/>
          </w:rPr>
          <w:fldChar w:fldCharType="separate"/>
        </w:r>
        <w:r w:rsidR="00F57AA6">
          <w:rPr>
            <w:noProof/>
            <w:webHidden/>
          </w:rPr>
          <w:t>14</w:t>
        </w:r>
        <w:r w:rsidR="00F57AA6">
          <w:rPr>
            <w:noProof/>
            <w:webHidden/>
          </w:rPr>
          <w:fldChar w:fldCharType="end"/>
        </w:r>
      </w:hyperlink>
    </w:p>
    <w:p w14:paraId="491C2513" w14:textId="361D160B" w:rsidR="00F57AA6" w:rsidRDefault="000E440F">
      <w:pPr>
        <w:pStyle w:val="Sommario2"/>
        <w:rPr>
          <w:rFonts w:asciiTheme="minorHAnsi" w:eastAsiaTheme="minorEastAsia" w:hAnsiTheme="minorHAnsi" w:cstheme="minorBidi"/>
          <w:noProof/>
          <w:kern w:val="2"/>
          <w:sz w:val="24"/>
          <w14:ligatures w14:val="standardContextual"/>
        </w:rPr>
      </w:pPr>
      <w:hyperlink w:anchor="_Toc163127430" w:history="1">
        <w:r w:rsidR="00F57AA6" w:rsidRPr="0075224A">
          <w:rPr>
            <w:rStyle w:val="Collegamentoipertestuale"/>
            <w:rFonts w:eastAsia="Times"/>
            <w:noProof/>
          </w:rPr>
          <w:t>5.8</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Rimodulazione dei conguagli</w:t>
        </w:r>
        <w:r w:rsidR="00F57AA6">
          <w:rPr>
            <w:noProof/>
            <w:webHidden/>
          </w:rPr>
          <w:tab/>
        </w:r>
        <w:r w:rsidR="00F57AA6">
          <w:rPr>
            <w:noProof/>
            <w:webHidden/>
          </w:rPr>
          <w:fldChar w:fldCharType="begin"/>
        </w:r>
        <w:r w:rsidR="00F57AA6">
          <w:rPr>
            <w:noProof/>
            <w:webHidden/>
          </w:rPr>
          <w:instrText xml:space="preserve"> PAGEREF _Toc163127430 \h </w:instrText>
        </w:r>
        <w:r w:rsidR="00F57AA6">
          <w:rPr>
            <w:noProof/>
            <w:webHidden/>
          </w:rPr>
        </w:r>
        <w:r w:rsidR="00F57AA6">
          <w:rPr>
            <w:noProof/>
            <w:webHidden/>
          </w:rPr>
          <w:fldChar w:fldCharType="separate"/>
        </w:r>
        <w:r w:rsidR="00F57AA6">
          <w:rPr>
            <w:noProof/>
            <w:webHidden/>
          </w:rPr>
          <w:t>15</w:t>
        </w:r>
        <w:r w:rsidR="00F57AA6">
          <w:rPr>
            <w:noProof/>
            <w:webHidden/>
          </w:rPr>
          <w:fldChar w:fldCharType="end"/>
        </w:r>
      </w:hyperlink>
    </w:p>
    <w:p w14:paraId="57C718A7" w14:textId="5C5E7F6E" w:rsidR="00F57AA6" w:rsidRDefault="000E440F">
      <w:pPr>
        <w:pStyle w:val="Sommario2"/>
        <w:rPr>
          <w:rFonts w:asciiTheme="minorHAnsi" w:eastAsiaTheme="minorEastAsia" w:hAnsiTheme="minorHAnsi" w:cstheme="minorBidi"/>
          <w:noProof/>
          <w:kern w:val="2"/>
          <w:sz w:val="24"/>
          <w14:ligatures w14:val="standardContextual"/>
        </w:rPr>
      </w:pPr>
      <w:hyperlink w:anchor="_Toc163127431" w:history="1">
        <w:r w:rsidR="00F57AA6" w:rsidRPr="0075224A">
          <w:rPr>
            <w:rStyle w:val="Collegamentoipertestuale"/>
            <w:rFonts w:eastAsia="Times"/>
            <w:noProof/>
          </w:rPr>
          <w:t>5.9</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Rimodulazione del valore delle entrate tariffarie che eccede il limite alla variazione annuale</w:t>
        </w:r>
        <w:r w:rsidR="00F57AA6">
          <w:rPr>
            <w:noProof/>
            <w:webHidden/>
          </w:rPr>
          <w:tab/>
        </w:r>
        <w:r w:rsidR="00F57AA6">
          <w:rPr>
            <w:noProof/>
            <w:webHidden/>
          </w:rPr>
          <w:fldChar w:fldCharType="begin"/>
        </w:r>
        <w:r w:rsidR="00F57AA6">
          <w:rPr>
            <w:noProof/>
            <w:webHidden/>
          </w:rPr>
          <w:instrText xml:space="preserve"> PAGEREF _Toc163127431 \h </w:instrText>
        </w:r>
        <w:r w:rsidR="00F57AA6">
          <w:rPr>
            <w:noProof/>
            <w:webHidden/>
          </w:rPr>
        </w:r>
        <w:r w:rsidR="00F57AA6">
          <w:rPr>
            <w:noProof/>
            <w:webHidden/>
          </w:rPr>
          <w:fldChar w:fldCharType="separate"/>
        </w:r>
        <w:r w:rsidR="00F57AA6">
          <w:rPr>
            <w:noProof/>
            <w:webHidden/>
          </w:rPr>
          <w:t>15</w:t>
        </w:r>
        <w:r w:rsidR="00F57AA6">
          <w:rPr>
            <w:noProof/>
            <w:webHidden/>
          </w:rPr>
          <w:fldChar w:fldCharType="end"/>
        </w:r>
      </w:hyperlink>
    </w:p>
    <w:p w14:paraId="0C09A04E" w14:textId="4DA4D159" w:rsidR="00F57AA6" w:rsidRDefault="000E440F">
      <w:pPr>
        <w:pStyle w:val="Sommario2"/>
        <w:rPr>
          <w:rFonts w:asciiTheme="minorHAnsi" w:eastAsiaTheme="minorEastAsia" w:hAnsiTheme="minorHAnsi" w:cstheme="minorBidi"/>
          <w:noProof/>
          <w:kern w:val="2"/>
          <w:sz w:val="24"/>
          <w14:ligatures w14:val="standardContextual"/>
        </w:rPr>
      </w:pPr>
      <w:hyperlink w:anchor="_Toc163127432" w:history="1">
        <w:r w:rsidR="00F57AA6" w:rsidRPr="0075224A">
          <w:rPr>
            <w:rStyle w:val="Collegamentoipertestuale"/>
            <w:rFonts w:eastAsia="Times"/>
            <w:noProof/>
          </w:rPr>
          <w:t>5.10</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Eventuale superamento del limite alla crescita annuale delle entrate tariffarie</w:t>
        </w:r>
        <w:r w:rsidR="00F57AA6">
          <w:rPr>
            <w:noProof/>
            <w:webHidden/>
          </w:rPr>
          <w:tab/>
        </w:r>
        <w:r w:rsidR="00F57AA6">
          <w:rPr>
            <w:noProof/>
            <w:webHidden/>
          </w:rPr>
          <w:fldChar w:fldCharType="begin"/>
        </w:r>
        <w:r w:rsidR="00F57AA6">
          <w:rPr>
            <w:noProof/>
            <w:webHidden/>
          </w:rPr>
          <w:instrText xml:space="preserve"> PAGEREF _Toc163127432 \h </w:instrText>
        </w:r>
        <w:r w:rsidR="00F57AA6">
          <w:rPr>
            <w:noProof/>
            <w:webHidden/>
          </w:rPr>
        </w:r>
        <w:r w:rsidR="00F57AA6">
          <w:rPr>
            <w:noProof/>
            <w:webHidden/>
          </w:rPr>
          <w:fldChar w:fldCharType="separate"/>
        </w:r>
        <w:r w:rsidR="00F57AA6">
          <w:rPr>
            <w:noProof/>
            <w:webHidden/>
          </w:rPr>
          <w:t>15</w:t>
        </w:r>
        <w:r w:rsidR="00F57AA6">
          <w:rPr>
            <w:noProof/>
            <w:webHidden/>
          </w:rPr>
          <w:fldChar w:fldCharType="end"/>
        </w:r>
      </w:hyperlink>
    </w:p>
    <w:p w14:paraId="68577772" w14:textId="4E740FDE" w:rsidR="00F57AA6" w:rsidRDefault="000E440F">
      <w:pPr>
        <w:pStyle w:val="Sommario2"/>
        <w:rPr>
          <w:rFonts w:asciiTheme="minorHAnsi" w:eastAsiaTheme="minorEastAsia" w:hAnsiTheme="minorHAnsi" w:cstheme="minorBidi"/>
          <w:noProof/>
          <w:kern w:val="2"/>
          <w:sz w:val="24"/>
          <w14:ligatures w14:val="standardContextual"/>
        </w:rPr>
      </w:pPr>
      <w:hyperlink w:anchor="_Toc163127433" w:history="1">
        <w:r w:rsidR="00F57AA6" w:rsidRPr="0075224A">
          <w:rPr>
            <w:rStyle w:val="Collegamentoipertestuale"/>
            <w:rFonts w:eastAsia="Times"/>
            <w:noProof/>
          </w:rPr>
          <w:t>5.11</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Ulteriori detrazioni</w:t>
        </w:r>
        <w:r w:rsidR="00F57AA6">
          <w:rPr>
            <w:noProof/>
            <w:webHidden/>
          </w:rPr>
          <w:tab/>
        </w:r>
        <w:r w:rsidR="00F57AA6">
          <w:rPr>
            <w:noProof/>
            <w:webHidden/>
          </w:rPr>
          <w:fldChar w:fldCharType="begin"/>
        </w:r>
        <w:r w:rsidR="00F57AA6">
          <w:rPr>
            <w:noProof/>
            <w:webHidden/>
          </w:rPr>
          <w:instrText xml:space="preserve"> PAGEREF _Toc163127433 \h </w:instrText>
        </w:r>
        <w:r w:rsidR="00F57AA6">
          <w:rPr>
            <w:noProof/>
            <w:webHidden/>
          </w:rPr>
        </w:r>
        <w:r w:rsidR="00F57AA6">
          <w:rPr>
            <w:noProof/>
            <w:webHidden/>
          </w:rPr>
          <w:fldChar w:fldCharType="separate"/>
        </w:r>
        <w:r w:rsidR="00F57AA6">
          <w:rPr>
            <w:noProof/>
            <w:webHidden/>
          </w:rPr>
          <w:t>16</w:t>
        </w:r>
        <w:r w:rsidR="00F57AA6">
          <w:rPr>
            <w:noProof/>
            <w:webHidden/>
          </w:rPr>
          <w:fldChar w:fldCharType="end"/>
        </w:r>
      </w:hyperlink>
    </w:p>
    <w:p w14:paraId="7E8E4992" w14:textId="64A9213F" w:rsidR="00F57AA6" w:rsidRDefault="000E440F">
      <w:pPr>
        <w:pStyle w:val="Sommario2"/>
        <w:rPr>
          <w:rFonts w:asciiTheme="minorHAnsi" w:eastAsiaTheme="minorEastAsia" w:hAnsiTheme="minorHAnsi" w:cstheme="minorBidi"/>
          <w:noProof/>
          <w:kern w:val="2"/>
          <w:sz w:val="24"/>
          <w14:ligatures w14:val="standardContextual"/>
        </w:rPr>
      </w:pPr>
      <w:hyperlink w:anchor="_Toc163127434" w:history="1">
        <w:r w:rsidR="00F57AA6" w:rsidRPr="0075224A">
          <w:rPr>
            <w:rStyle w:val="Collegamentoipertestuale"/>
            <w:rFonts w:eastAsia="Times"/>
            <w:noProof/>
          </w:rPr>
          <w:t>5.12</w:t>
        </w:r>
        <w:r w:rsidR="00F57AA6">
          <w:rPr>
            <w:rFonts w:asciiTheme="minorHAnsi" w:eastAsiaTheme="minorEastAsia" w:hAnsiTheme="minorHAnsi" w:cstheme="minorBidi"/>
            <w:noProof/>
            <w:kern w:val="2"/>
            <w:sz w:val="24"/>
            <w14:ligatures w14:val="standardContextual"/>
          </w:rPr>
          <w:tab/>
        </w:r>
        <w:r w:rsidR="00F57AA6" w:rsidRPr="0075224A">
          <w:rPr>
            <w:rStyle w:val="Collegamentoipertestuale"/>
            <w:rFonts w:eastAsia="Times"/>
            <w:noProof/>
          </w:rPr>
          <w:t>Monitoraggio del grado di copertura dei costi efficienti della raccolta differenziata</w:t>
        </w:r>
        <w:r w:rsidR="00F57AA6">
          <w:rPr>
            <w:noProof/>
            <w:webHidden/>
          </w:rPr>
          <w:tab/>
        </w:r>
        <w:r w:rsidR="00F57AA6">
          <w:rPr>
            <w:noProof/>
            <w:webHidden/>
          </w:rPr>
          <w:fldChar w:fldCharType="begin"/>
        </w:r>
        <w:r w:rsidR="00F57AA6">
          <w:rPr>
            <w:noProof/>
            <w:webHidden/>
          </w:rPr>
          <w:instrText xml:space="preserve"> PAGEREF _Toc163127434 \h </w:instrText>
        </w:r>
        <w:r w:rsidR="00F57AA6">
          <w:rPr>
            <w:noProof/>
            <w:webHidden/>
          </w:rPr>
        </w:r>
        <w:r w:rsidR="00F57AA6">
          <w:rPr>
            <w:noProof/>
            <w:webHidden/>
          </w:rPr>
          <w:fldChar w:fldCharType="separate"/>
        </w:r>
        <w:r w:rsidR="00F57AA6">
          <w:rPr>
            <w:noProof/>
            <w:webHidden/>
          </w:rPr>
          <w:t>16</w:t>
        </w:r>
        <w:r w:rsidR="00F57AA6">
          <w:rPr>
            <w:noProof/>
            <w:webHidden/>
          </w:rPr>
          <w:fldChar w:fldCharType="end"/>
        </w:r>
      </w:hyperlink>
    </w:p>
    <w:p w14:paraId="33A95B3A" w14:textId="3CB37DD9" w:rsidR="00F57AA6" w:rsidRDefault="000E440F">
      <w:pPr>
        <w:pStyle w:val="Sommario1"/>
        <w:rPr>
          <w:rFonts w:asciiTheme="minorHAnsi" w:eastAsiaTheme="minorEastAsia" w:hAnsiTheme="minorHAnsi" w:cstheme="minorBidi"/>
          <w:b w:val="0"/>
          <w:kern w:val="2"/>
          <w:sz w:val="24"/>
          <w14:ligatures w14:val="standardContextual"/>
        </w:rPr>
      </w:pPr>
      <w:hyperlink w:anchor="_Toc163127435" w:history="1">
        <w:r w:rsidR="00F57AA6" w:rsidRPr="0075224A">
          <w:rPr>
            <w:rStyle w:val="Collegamentoipertestuale"/>
            <w:lang w:eastAsia="en-GB"/>
          </w:rPr>
          <w:t>6</w:t>
        </w:r>
        <w:r w:rsidR="00F57AA6">
          <w:rPr>
            <w:rFonts w:asciiTheme="minorHAnsi" w:eastAsiaTheme="minorEastAsia" w:hAnsiTheme="minorHAnsi" w:cstheme="minorBidi"/>
            <w:b w:val="0"/>
            <w:kern w:val="2"/>
            <w:sz w:val="24"/>
            <w14:ligatures w14:val="standardContextual"/>
          </w:rPr>
          <w:tab/>
        </w:r>
        <w:r w:rsidR="00F57AA6" w:rsidRPr="0075224A">
          <w:rPr>
            <w:rStyle w:val="Collegamentoipertestuale"/>
            <w:lang w:eastAsia="en-GB"/>
          </w:rPr>
          <w:t>A</w:t>
        </w:r>
        <w:r w:rsidR="00CE6082">
          <w:rPr>
            <w:rStyle w:val="Collegamentoipertestuale"/>
            <w:lang w:eastAsia="en-GB"/>
          </w:rPr>
          <w:t>nnotazioni</w:t>
        </w:r>
        <w:r w:rsidR="00F57AA6">
          <w:rPr>
            <w:webHidden/>
          </w:rPr>
          <w:tab/>
        </w:r>
        <w:r w:rsidR="00F57AA6">
          <w:rPr>
            <w:webHidden/>
          </w:rPr>
          <w:fldChar w:fldCharType="begin"/>
        </w:r>
        <w:r w:rsidR="00F57AA6">
          <w:rPr>
            <w:webHidden/>
          </w:rPr>
          <w:instrText xml:space="preserve"> PAGEREF _Toc163127435 \h </w:instrText>
        </w:r>
        <w:r w:rsidR="00F57AA6">
          <w:rPr>
            <w:webHidden/>
          </w:rPr>
        </w:r>
        <w:r w:rsidR="00F57AA6">
          <w:rPr>
            <w:webHidden/>
          </w:rPr>
          <w:fldChar w:fldCharType="separate"/>
        </w:r>
        <w:r w:rsidR="00F57AA6">
          <w:rPr>
            <w:webHidden/>
          </w:rPr>
          <w:t>18</w:t>
        </w:r>
        <w:r w:rsidR="00F57AA6">
          <w:rPr>
            <w:webHidden/>
          </w:rPr>
          <w:fldChar w:fldCharType="end"/>
        </w:r>
      </w:hyperlink>
    </w:p>
    <w:p w14:paraId="23E28A31" w14:textId="031D9D36" w:rsidR="005316ED" w:rsidRPr="0034669D" w:rsidRDefault="005316ED" w:rsidP="00393406">
      <w:pPr>
        <w:rPr>
          <w:rFonts w:asciiTheme="minorHAnsi" w:hAnsiTheme="minorHAnsi"/>
        </w:rPr>
      </w:pPr>
      <w:r w:rsidRPr="0034669D">
        <w:rPr>
          <w:rFonts w:asciiTheme="minorHAnsi" w:hAnsiTheme="minorHAnsi"/>
        </w:rPr>
        <w:fldChar w:fldCharType="end"/>
      </w:r>
    </w:p>
    <w:p w14:paraId="44DC2E8D" w14:textId="00856215" w:rsidR="005316ED" w:rsidRPr="0034669D" w:rsidRDefault="005316ED" w:rsidP="003F0BF9">
      <w:pPr>
        <w:pStyle w:val="Titolo1"/>
      </w:pPr>
      <w:r w:rsidRPr="0034669D">
        <w:br w:type="page"/>
      </w:r>
      <w:bookmarkStart w:id="0" w:name="_Toc163127405"/>
      <w:r w:rsidR="00AE47BD" w:rsidRPr="0034669D">
        <w:lastRenderedPageBreak/>
        <w:t>Premessa</w:t>
      </w:r>
      <w:r w:rsidR="004258AF" w:rsidRPr="0034669D">
        <w:t xml:space="preserve"> </w:t>
      </w:r>
      <w:r w:rsidR="003152D0">
        <w:t>(ETC)</w:t>
      </w:r>
      <w:bookmarkEnd w:id="0"/>
      <w:r w:rsidR="00F22353" w:rsidRPr="0034669D">
        <w:t xml:space="preserve"> </w:t>
      </w:r>
    </w:p>
    <w:p w14:paraId="22E4A811" w14:textId="1D459AF6" w:rsidR="00DF4245" w:rsidRDefault="00DF4245" w:rsidP="00EC28E1">
      <w:pPr>
        <w:rPr>
          <w:rFonts w:asciiTheme="minorHAnsi" w:hAnsiTheme="minorHAnsi"/>
        </w:rPr>
      </w:pPr>
      <w:r>
        <w:rPr>
          <w:rFonts w:asciiTheme="minorHAnsi" w:hAnsiTheme="minorHAnsi"/>
        </w:rPr>
        <w:t>La presente relazione viene predisposta</w:t>
      </w:r>
      <w:r w:rsidR="00185CB0">
        <w:rPr>
          <w:rFonts w:asciiTheme="minorHAnsi" w:hAnsiTheme="minorHAnsi"/>
        </w:rPr>
        <w:t xml:space="preserve"> </w:t>
      </w:r>
      <w:r w:rsidR="00E66568" w:rsidRPr="00001202">
        <w:rPr>
          <w:rFonts w:asciiTheme="minorHAnsi" w:hAnsiTheme="minorHAnsi"/>
        </w:rPr>
        <w:t xml:space="preserve">secondo lo schema tipo della relazione di accompagnamento </w:t>
      </w:r>
      <w:r w:rsidR="00185CB0" w:rsidRPr="00137590">
        <w:rPr>
          <w:rFonts w:asciiTheme="minorHAnsi" w:hAnsiTheme="minorHAnsi"/>
        </w:rPr>
        <w:t xml:space="preserve">fornito </w:t>
      </w:r>
      <w:r w:rsidR="00185CB0">
        <w:rPr>
          <w:rFonts w:asciiTheme="minorHAnsi" w:hAnsiTheme="minorHAnsi"/>
        </w:rPr>
        <w:t>d</w:t>
      </w:r>
      <w:r w:rsidR="00185CB0" w:rsidRPr="00137590">
        <w:rPr>
          <w:rFonts w:asciiTheme="minorHAnsi" w:hAnsiTheme="minorHAnsi"/>
        </w:rPr>
        <w:t xml:space="preserve">all’Allegato 2 della Determinazione </w:t>
      </w:r>
      <w:r w:rsidR="00185CB0">
        <w:rPr>
          <w:rFonts w:asciiTheme="minorHAnsi" w:hAnsiTheme="minorHAnsi"/>
        </w:rPr>
        <w:t>del 6</w:t>
      </w:r>
      <w:r w:rsidR="00185CB0" w:rsidRPr="00137590">
        <w:rPr>
          <w:rFonts w:asciiTheme="minorHAnsi" w:hAnsiTheme="minorHAnsi"/>
        </w:rPr>
        <w:t xml:space="preserve"> novembre 202</w:t>
      </w:r>
      <w:r w:rsidR="00185CB0">
        <w:rPr>
          <w:rFonts w:asciiTheme="minorHAnsi" w:hAnsiTheme="minorHAnsi"/>
        </w:rPr>
        <w:t>3</w:t>
      </w:r>
      <w:r w:rsidR="00185CB0" w:rsidRPr="00137590">
        <w:rPr>
          <w:rFonts w:asciiTheme="minorHAnsi" w:hAnsiTheme="minorHAnsi"/>
        </w:rPr>
        <w:t xml:space="preserve"> </w:t>
      </w:r>
      <w:r w:rsidR="00185CB0">
        <w:rPr>
          <w:rFonts w:asciiTheme="minorHAnsi" w:hAnsiTheme="minorHAnsi"/>
        </w:rPr>
        <w:t>dell’</w:t>
      </w:r>
      <w:r w:rsidR="00185CB0" w:rsidRPr="00DF4245">
        <w:rPr>
          <w:rFonts w:asciiTheme="minorHAnsi" w:hAnsiTheme="minorHAnsi"/>
        </w:rPr>
        <w:t>Autorità di Regolazione per Energia Reti e Ambiente (ARERA)</w:t>
      </w:r>
      <w:r w:rsidR="00185CB0">
        <w:rPr>
          <w:rFonts w:asciiTheme="minorHAnsi" w:hAnsiTheme="minorHAnsi"/>
        </w:rPr>
        <w:t xml:space="preserve"> </w:t>
      </w:r>
      <w:r w:rsidR="00185CB0" w:rsidRPr="00137590">
        <w:rPr>
          <w:rFonts w:asciiTheme="minorHAnsi" w:hAnsiTheme="minorHAnsi"/>
        </w:rPr>
        <w:t>n.</w:t>
      </w:r>
      <w:r w:rsidR="00185CB0" w:rsidRPr="009419E5">
        <w:rPr>
          <w:rFonts w:asciiTheme="minorHAnsi" w:hAnsiTheme="minorHAnsi"/>
        </w:rPr>
        <w:t>1/2023 - DTAC</w:t>
      </w:r>
      <w:r w:rsidR="00185CB0">
        <w:rPr>
          <w:rFonts w:asciiTheme="minorHAnsi" w:hAnsiTheme="minorHAnsi"/>
        </w:rPr>
        <w:t xml:space="preserve"> (Allegato 2 - “</w:t>
      </w:r>
      <w:r w:rsidR="00185CB0" w:rsidRPr="0005522C">
        <w:rPr>
          <w:rFonts w:asciiTheme="minorHAnsi" w:hAnsiTheme="minorHAnsi"/>
        </w:rPr>
        <w:t>Schema tipo della</w:t>
      </w:r>
      <w:r w:rsidR="00185CB0">
        <w:rPr>
          <w:rFonts w:asciiTheme="minorHAnsi" w:hAnsiTheme="minorHAnsi"/>
        </w:rPr>
        <w:t xml:space="preserve"> </w:t>
      </w:r>
      <w:r w:rsidR="00185CB0" w:rsidRPr="0005522C">
        <w:rPr>
          <w:rFonts w:asciiTheme="minorHAnsi" w:hAnsiTheme="minorHAnsi"/>
        </w:rPr>
        <w:t xml:space="preserve">Relazione </w:t>
      </w:r>
      <w:r w:rsidR="00185CB0">
        <w:rPr>
          <w:rFonts w:asciiTheme="minorHAnsi" w:hAnsiTheme="minorHAnsi"/>
        </w:rPr>
        <w:t>d</w:t>
      </w:r>
      <w:r w:rsidR="00185CB0" w:rsidRPr="0005522C">
        <w:rPr>
          <w:rFonts w:asciiTheme="minorHAnsi" w:hAnsiTheme="minorHAnsi"/>
        </w:rPr>
        <w:t>i Accompagnamento</w:t>
      </w:r>
      <w:r w:rsidR="00185CB0">
        <w:rPr>
          <w:rFonts w:asciiTheme="minorHAnsi" w:hAnsiTheme="minorHAnsi"/>
        </w:rPr>
        <w:t>”)</w:t>
      </w:r>
      <w:r w:rsidR="00E66568" w:rsidRPr="00001202">
        <w:rPr>
          <w:rFonts w:asciiTheme="minorHAnsi" w:hAnsiTheme="minorHAnsi"/>
        </w:rPr>
        <w:t xml:space="preserve">, </w:t>
      </w:r>
      <w:r w:rsidRPr="00001202">
        <w:rPr>
          <w:rFonts w:asciiTheme="minorHAnsi" w:hAnsiTheme="minorHAnsi"/>
        </w:rPr>
        <w:t>a</w:t>
      </w:r>
      <w:r w:rsidR="004258AF" w:rsidRPr="00001202">
        <w:rPr>
          <w:rFonts w:asciiTheme="minorHAnsi" w:hAnsiTheme="minorHAnsi"/>
        </w:rPr>
        <w:t>l</w:t>
      </w:r>
      <w:r w:rsidR="004258AF" w:rsidRPr="00F50F6A">
        <w:rPr>
          <w:rFonts w:asciiTheme="minorHAnsi" w:hAnsiTheme="minorHAnsi"/>
        </w:rPr>
        <w:t xml:space="preserve"> fine di consentire </w:t>
      </w:r>
      <w:r w:rsidR="00EF6222">
        <w:rPr>
          <w:rFonts w:asciiTheme="minorHAnsi" w:hAnsiTheme="minorHAnsi"/>
        </w:rPr>
        <w:t xml:space="preserve">a </w:t>
      </w:r>
      <w:r w:rsidR="00CA3D96">
        <w:rPr>
          <w:rFonts w:asciiTheme="minorHAnsi" w:hAnsiTheme="minorHAnsi"/>
        </w:rPr>
        <w:t>ARENA PO</w:t>
      </w:r>
      <w:r w:rsidR="00022C92">
        <w:rPr>
          <w:rFonts w:asciiTheme="minorHAnsi" w:hAnsiTheme="minorHAnsi"/>
        </w:rPr>
        <w:t xml:space="preserve">, in qualità di Ente Territorialmente Competente (ETC), </w:t>
      </w:r>
      <w:r w:rsidR="004258AF" w:rsidRPr="00F50F6A">
        <w:rPr>
          <w:rFonts w:asciiTheme="minorHAnsi" w:hAnsiTheme="minorHAnsi"/>
        </w:rPr>
        <w:t>di verificare la completezza, la coerenza e la congruità dei dati e delle informazioni necessari alla elaborazione del piano economico finanziario</w:t>
      </w:r>
      <w:r w:rsidR="00D91639" w:rsidRPr="00F50F6A">
        <w:rPr>
          <w:rFonts w:asciiTheme="minorHAnsi" w:hAnsiTheme="minorHAnsi"/>
        </w:rPr>
        <w:t xml:space="preserve"> (di seguito: PEF)</w:t>
      </w:r>
      <w:r>
        <w:rPr>
          <w:rFonts w:asciiTheme="minorHAnsi" w:hAnsiTheme="minorHAnsi"/>
        </w:rPr>
        <w:t xml:space="preserve"> </w:t>
      </w:r>
      <w:r w:rsidRPr="00DF4245">
        <w:rPr>
          <w:rFonts w:asciiTheme="minorHAnsi" w:hAnsiTheme="minorHAnsi"/>
        </w:rPr>
        <w:t>illustra</w:t>
      </w:r>
      <w:r>
        <w:rPr>
          <w:rFonts w:asciiTheme="minorHAnsi" w:hAnsiTheme="minorHAnsi"/>
        </w:rPr>
        <w:t>ndo</w:t>
      </w:r>
      <w:r w:rsidRPr="00DF4245">
        <w:rPr>
          <w:rFonts w:asciiTheme="minorHAnsi" w:hAnsiTheme="minorHAnsi"/>
        </w:rPr>
        <w:t xml:space="preserve"> sia i criteri di corrispondenza tra i valori riportati nella modulistica </w:t>
      </w:r>
      <w:r>
        <w:rPr>
          <w:rFonts w:asciiTheme="minorHAnsi" w:hAnsiTheme="minorHAnsi"/>
        </w:rPr>
        <w:t xml:space="preserve">richiesta da ARERA </w:t>
      </w:r>
      <w:r w:rsidRPr="00DF4245">
        <w:rPr>
          <w:rFonts w:asciiTheme="minorHAnsi" w:hAnsiTheme="minorHAnsi"/>
        </w:rPr>
        <w:t>e i valori desumibili dalla documentazione contabile sia le evidenze contabili sottostanti.</w:t>
      </w:r>
    </w:p>
    <w:p w14:paraId="71C78CC2" w14:textId="150FBF25" w:rsidR="00AE47BD" w:rsidRPr="00F50F6A" w:rsidRDefault="00A5425B" w:rsidP="00A5425B">
      <w:pPr>
        <w:rPr>
          <w:rFonts w:asciiTheme="minorHAnsi" w:hAnsiTheme="minorHAnsi"/>
        </w:rPr>
      </w:pPr>
      <w:r>
        <w:rPr>
          <w:rFonts w:asciiTheme="minorHAnsi" w:hAnsiTheme="minorHAnsi"/>
        </w:rPr>
        <w:t>Di conseguenza, alla presente relazione vengono allegati:</w:t>
      </w:r>
    </w:p>
    <w:p w14:paraId="0F6FE970" w14:textId="3DEE640E" w:rsidR="00AE47BD" w:rsidRPr="00137590" w:rsidRDefault="00185CB0" w:rsidP="00B049D5">
      <w:pPr>
        <w:numPr>
          <w:ilvl w:val="0"/>
          <w:numId w:val="5"/>
        </w:numPr>
        <w:rPr>
          <w:rFonts w:asciiTheme="minorHAnsi" w:hAnsiTheme="minorHAnsi"/>
        </w:rPr>
      </w:pPr>
      <w:r w:rsidRPr="00185CB0">
        <w:rPr>
          <w:rFonts w:asciiTheme="minorHAnsi" w:hAnsiTheme="minorHAnsi"/>
        </w:rPr>
        <w:t>il PEF relativo alla gestione (Aggiornamento tariffario biennale 2024-2025) secondo lo schema tipo predisposto dall’Autorità di cui all’Allegato 1 della Determinazione del 6 novembre 2023 n.1/2023 - DTAC</w:t>
      </w:r>
      <w:r w:rsidR="006862BA" w:rsidRPr="00137590">
        <w:rPr>
          <w:rFonts w:asciiTheme="minorHAnsi" w:hAnsiTheme="minorHAnsi"/>
          <w:lang w:eastAsia="en-GB"/>
        </w:rPr>
        <w:t>,</w:t>
      </w:r>
      <w:r w:rsidR="00E624B3" w:rsidRPr="00137590">
        <w:rPr>
          <w:rFonts w:asciiTheme="minorHAnsi" w:hAnsiTheme="minorHAnsi"/>
          <w:smallCaps/>
        </w:rPr>
        <w:t xml:space="preserve"> </w:t>
      </w:r>
      <w:r w:rsidR="00E624B3" w:rsidRPr="00137590">
        <w:rPr>
          <w:rFonts w:asciiTheme="minorHAnsi" w:hAnsiTheme="minorHAnsi"/>
        </w:rPr>
        <w:t>compila</w:t>
      </w:r>
      <w:r w:rsidR="00F50F6A" w:rsidRPr="00137590">
        <w:rPr>
          <w:rFonts w:asciiTheme="minorHAnsi" w:hAnsiTheme="minorHAnsi"/>
        </w:rPr>
        <w:t>t</w:t>
      </w:r>
      <w:r w:rsidR="002D7B60" w:rsidRPr="00137590">
        <w:rPr>
          <w:rFonts w:asciiTheme="minorHAnsi" w:hAnsiTheme="minorHAnsi"/>
        </w:rPr>
        <w:t>o</w:t>
      </w:r>
      <w:r w:rsidR="00E624B3" w:rsidRPr="00137590">
        <w:rPr>
          <w:rFonts w:asciiTheme="minorHAnsi" w:hAnsiTheme="minorHAnsi"/>
        </w:rPr>
        <w:t xml:space="preserve"> </w:t>
      </w:r>
      <w:r w:rsidR="00B30E27">
        <w:rPr>
          <w:rFonts w:asciiTheme="minorHAnsi" w:hAnsiTheme="minorHAnsi"/>
        </w:rPr>
        <w:t xml:space="preserve">dal </w:t>
      </w:r>
      <w:r w:rsidR="00A5425B">
        <w:rPr>
          <w:rFonts w:asciiTheme="minorHAnsi" w:hAnsiTheme="minorHAnsi"/>
        </w:rPr>
        <w:t>Gestore</w:t>
      </w:r>
      <w:r w:rsidR="00B30E27">
        <w:rPr>
          <w:rFonts w:asciiTheme="minorHAnsi" w:hAnsiTheme="minorHAnsi"/>
        </w:rPr>
        <w:t xml:space="preserve"> per quanto di sua competenza e completato dall’Ente scrivente</w:t>
      </w:r>
      <w:r w:rsidR="00E87D1F" w:rsidRPr="00137590">
        <w:rPr>
          <w:rFonts w:asciiTheme="minorHAnsi" w:hAnsiTheme="minorHAnsi"/>
        </w:rPr>
        <w:t>;</w:t>
      </w:r>
    </w:p>
    <w:p w14:paraId="535B2402" w14:textId="7232A55F" w:rsidR="00E87D1F" w:rsidRDefault="00A5425B" w:rsidP="00B049D5">
      <w:pPr>
        <w:pStyle w:val="Corpodeltesto2"/>
        <w:widowControl w:val="0"/>
        <w:numPr>
          <w:ilvl w:val="0"/>
          <w:numId w:val="5"/>
        </w:numPr>
        <w:ind w:right="-81"/>
        <w:rPr>
          <w:rFonts w:asciiTheme="minorHAnsi" w:hAnsiTheme="minorHAnsi"/>
          <w:color w:val="auto"/>
        </w:rPr>
      </w:pPr>
      <w:r>
        <w:rPr>
          <w:rFonts w:asciiTheme="minorHAnsi" w:hAnsiTheme="minorHAnsi"/>
          <w:color w:val="auto"/>
        </w:rPr>
        <w:t>la</w:t>
      </w:r>
      <w:r w:rsidR="00E87D1F" w:rsidRPr="00137590">
        <w:rPr>
          <w:rFonts w:asciiTheme="minorHAnsi" w:hAnsiTheme="minorHAnsi"/>
          <w:color w:val="auto"/>
        </w:rPr>
        <w:t xml:space="preserve"> dichiarazione</w:t>
      </w:r>
      <w:r>
        <w:rPr>
          <w:rFonts w:asciiTheme="minorHAnsi" w:hAnsiTheme="minorHAnsi"/>
          <w:color w:val="auto"/>
        </w:rPr>
        <w:t xml:space="preserve"> di veridicità</w:t>
      </w:r>
      <w:r w:rsidR="00E87D1F" w:rsidRPr="00137590">
        <w:rPr>
          <w:rFonts w:asciiTheme="minorHAnsi" w:hAnsiTheme="minorHAnsi"/>
          <w:color w:val="auto"/>
        </w:rPr>
        <w:t xml:space="preserve">, </w:t>
      </w:r>
      <w:r w:rsidR="00185CB0" w:rsidRPr="00185CB0">
        <w:rPr>
          <w:rFonts w:asciiTheme="minorHAnsi" w:hAnsiTheme="minorHAnsi"/>
          <w:color w:val="auto"/>
        </w:rPr>
        <w:t>predisposta sulla base dello schema tipo di cui all’Allegato 3 della Determinazione del 6 novembre 2023 n.1/2023 - DTAC, ai sensi del d.P.R. 445/00</w:t>
      </w:r>
      <w:r w:rsidR="00E87D1F" w:rsidRPr="00137590">
        <w:rPr>
          <w:rFonts w:asciiTheme="minorHAnsi" w:hAnsiTheme="minorHAnsi"/>
          <w:color w:val="auto"/>
        </w:rPr>
        <w:t>, sottoscritta dal legale rappresentante</w:t>
      </w:r>
      <w:r w:rsidR="00B30E27">
        <w:rPr>
          <w:rFonts w:asciiTheme="minorHAnsi" w:hAnsiTheme="minorHAnsi"/>
          <w:color w:val="auto"/>
        </w:rPr>
        <w:t xml:space="preserve"> del Gestore</w:t>
      </w:r>
      <w:r w:rsidR="00E87D1F" w:rsidRPr="00137590">
        <w:rPr>
          <w:rFonts w:asciiTheme="minorHAnsi" w:hAnsiTheme="minorHAnsi"/>
          <w:color w:val="auto"/>
        </w:rPr>
        <w:t xml:space="preserve">, attestante la veridicità dei dati trasmessi e la corrispondenza tra i valori riportati nella modulistica </w:t>
      </w:r>
      <w:r w:rsidR="00D91639" w:rsidRPr="00137590">
        <w:rPr>
          <w:rFonts w:asciiTheme="minorHAnsi" w:hAnsiTheme="minorHAnsi"/>
          <w:color w:val="auto"/>
        </w:rPr>
        <w:t xml:space="preserve">e </w:t>
      </w:r>
      <w:r w:rsidR="00E87D1F" w:rsidRPr="00137590">
        <w:rPr>
          <w:rFonts w:asciiTheme="minorHAnsi" w:hAnsiTheme="minorHAnsi"/>
          <w:color w:val="auto"/>
        </w:rPr>
        <w:t>i valori desumibili dalla documentazione contabile di riferimento tenuta ai sensi di legge;</w:t>
      </w:r>
    </w:p>
    <w:p w14:paraId="7ADC2864" w14:textId="2D6B4A36" w:rsidR="003152D0" w:rsidRDefault="003152D0" w:rsidP="003152D0">
      <w:pPr>
        <w:pStyle w:val="Corpodeltesto2"/>
        <w:widowControl w:val="0"/>
        <w:ind w:right="-81"/>
        <w:rPr>
          <w:rFonts w:asciiTheme="minorHAnsi" w:hAnsiTheme="minorHAnsi"/>
          <w:color w:val="auto"/>
        </w:rPr>
      </w:pPr>
      <w:r w:rsidRPr="00596012">
        <w:rPr>
          <w:rFonts w:asciiTheme="minorHAnsi" w:hAnsiTheme="minorHAnsi"/>
          <w:color w:val="auto"/>
        </w:rPr>
        <w:t xml:space="preserve">Il Gestore operante </w:t>
      </w:r>
      <w:r w:rsidR="00DE024C">
        <w:rPr>
          <w:rFonts w:asciiTheme="minorHAnsi" w:hAnsiTheme="minorHAnsi"/>
          <w:color w:val="auto"/>
        </w:rPr>
        <w:t>è</w:t>
      </w:r>
      <w:r w:rsidR="000F63CA" w:rsidRPr="00596012">
        <w:rPr>
          <w:rFonts w:asciiTheme="minorHAnsi" w:hAnsiTheme="minorHAnsi"/>
          <w:color w:val="auto"/>
        </w:rPr>
        <w:t xml:space="preserve"> </w:t>
      </w:r>
      <w:r w:rsidR="00F6673B">
        <w:rPr>
          <w:rFonts w:asciiTheme="minorHAnsi" w:hAnsiTheme="minorHAnsi"/>
          <w:color w:val="auto"/>
        </w:rPr>
        <w:t>BRONI STRADELLA PUBBLICA SRL</w:t>
      </w:r>
      <w:r w:rsidR="00F57AA6" w:rsidRPr="00596012">
        <w:rPr>
          <w:rFonts w:asciiTheme="minorHAnsi" w:hAnsiTheme="minorHAnsi"/>
          <w:color w:val="auto"/>
        </w:rPr>
        <w:t>.</w:t>
      </w:r>
    </w:p>
    <w:p w14:paraId="2F219EF2" w14:textId="6FB6AD33" w:rsidR="00AE47BD" w:rsidRPr="0034669D" w:rsidRDefault="00276C5A" w:rsidP="003F0BF9">
      <w:pPr>
        <w:pStyle w:val="Titolo1"/>
      </w:pPr>
      <w:bookmarkStart w:id="1" w:name="_Toc163127406"/>
      <w:r>
        <w:t>Descrizione dei servizi forniti</w:t>
      </w:r>
      <w:r w:rsidR="00A5425B">
        <w:t xml:space="preserve"> (G)</w:t>
      </w:r>
      <w:bookmarkEnd w:id="1"/>
    </w:p>
    <w:p w14:paraId="37DB7119" w14:textId="6832AE4F" w:rsidR="00F57AA6" w:rsidRPr="003D2918" w:rsidRDefault="00B30E27" w:rsidP="00F57AA6">
      <w:pPr>
        <w:rPr>
          <w:rFonts w:asciiTheme="minorHAnsi" w:hAnsiTheme="minorHAnsi"/>
        </w:rPr>
      </w:pPr>
      <w:r w:rsidRPr="00F57AA6">
        <w:rPr>
          <w:rFonts w:asciiTheme="minorHAnsi" w:hAnsiTheme="minorHAnsi"/>
        </w:rPr>
        <w:t>Con riferimento alla descrizione dei servizi forniti dal Gestore e alle modalità di predisposizione del</w:t>
      </w:r>
      <w:r w:rsidR="000F63CA" w:rsidRPr="00F57AA6">
        <w:rPr>
          <w:rFonts w:asciiTheme="minorHAnsi" w:hAnsiTheme="minorHAnsi"/>
        </w:rPr>
        <w:t xml:space="preserve">l’aggiornamento biennale del </w:t>
      </w:r>
      <w:r w:rsidRPr="00F57AA6">
        <w:rPr>
          <w:rFonts w:asciiTheme="minorHAnsi" w:hAnsiTheme="minorHAnsi"/>
        </w:rPr>
        <w:t xml:space="preserve">PEF </w:t>
      </w:r>
      <w:r w:rsidRPr="00F57AA6">
        <w:rPr>
          <w:rFonts w:asciiTheme="minorHAnsi" w:hAnsiTheme="minorHAnsi"/>
          <w:i/>
          <w:iCs/>
        </w:rPr>
        <w:t>Grezzo</w:t>
      </w:r>
      <w:r w:rsidRPr="00F57AA6">
        <w:rPr>
          <w:rFonts w:asciiTheme="minorHAnsi" w:hAnsiTheme="minorHAnsi"/>
        </w:rPr>
        <w:t xml:space="preserve"> 202</w:t>
      </w:r>
      <w:r w:rsidR="000F63CA" w:rsidRPr="00F57AA6">
        <w:rPr>
          <w:rFonts w:asciiTheme="minorHAnsi" w:hAnsiTheme="minorHAnsi"/>
        </w:rPr>
        <w:t>4</w:t>
      </w:r>
      <w:r w:rsidRPr="00F57AA6">
        <w:rPr>
          <w:rFonts w:asciiTheme="minorHAnsi" w:hAnsiTheme="minorHAnsi"/>
        </w:rPr>
        <w:t>-2025</w:t>
      </w:r>
      <w:r w:rsidR="00DD6B57" w:rsidRPr="00F57AA6">
        <w:rPr>
          <w:rFonts w:asciiTheme="minorHAnsi" w:hAnsiTheme="minorHAnsi"/>
        </w:rPr>
        <w:t xml:space="preserve"> </w:t>
      </w:r>
      <w:r w:rsidRPr="00F57AA6">
        <w:rPr>
          <w:rFonts w:asciiTheme="minorHAnsi" w:hAnsiTheme="minorHAnsi"/>
        </w:rPr>
        <w:t>si rimanda alla Relazione di Accompagnamento redatta da</w:t>
      </w:r>
      <w:r w:rsidR="00C244D3">
        <w:rPr>
          <w:rFonts w:asciiTheme="minorHAnsi" w:hAnsiTheme="minorHAnsi"/>
        </w:rPr>
        <w:t xml:space="preserve"> </w:t>
      </w:r>
      <w:r w:rsidR="00F6673B">
        <w:rPr>
          <w:rFonts w:asciiTheme="minorHAnsi" w:hAnsiTheme="minorHAnsi"/>
        </w:rPr>
        <w:t xml:space="preserve">BRONI STRADELLA PUBBLICA </w:t>
      </w:r>
      <w:proofErr w:type="gramStart"/>
      <w:r w:rsidR="00F6673B">
        <w:rPr>
          <w:rFonts w:asciiTheme="minorHAnsi" w:hAnsiTheme="minorHAnsi"/>
        </w:rPr>
        <w:t>SRL</w:t>
      </w:r>
      <w:r w:rsidR="00F6673B" w:rsidRPr="00F57AA6">
        <w:rPr>
          <w:rFonts w:asciiTheme="minorHAnsi" w:hAnsiTheme="minorHAnsi"/>
        </w:rPr>
        <w:t xml:space="preserve"> </w:t>
      </w:r>
      <w:r w:rsidR="00F6673B">
        <w:rPr>
          <w:rFonts w:asciiTheme="minorHAnsi" w:hAnsiTheme="minorHAnsi"/>
        </w:rPr>
        <w:t xml:space="preserve"> </w:t>
      </w:r>
      <w:r w:rsidRPr="00F57AA6">
        <w:rPr>
          <w:rFonts w:asciiTheme="minorHAnsi" w:hAnsiTheme="minorHAnsi"/>
        </w:rPr>
        <w:t>allegata</w:t>
      </w:r>
      <w:proofErr w:type="gramEnd"/>
      <w:r w:rsidRPr="00F57AA6">
        <w:rPr>
          <w:rFonts w:asciiTheme="minorHAnsi" w:hAnsiTheme="minorHAnsi"/>
        </w:rPr>
        <w:t xml:space="preserve"> alla presente relazione</w:t>
      </w:r>
      <w:r w:rsidR="00DD6B57" w:rsidRPr="00F57AA6">
        <w:rPr>
          <w:rFonts w:asciiTheme="minorHAnsi" w:hAnsiTheme="minorHAnsi"/>
        </w:rPr>
        <w:t xml:space="preserve">. </w:t>
      </w:r>
    </w:p>
    <w:p w14:paraId="159249CC" w14:textId="77777777" w:rsidR="00FF6A01" w:rsidRPr="0034669D" w:rsidRDefault="00FF6A01" w:rsidP="003E336F">
      <w:pPr>
        <w:rPr>
          <w:rFonts w:asciiTheme="minorHAnsi" w:hAnsiTheme="minorHAnsi"/>
        </w:rPr>
      </w:pPr>
    </w:p>
    <w:p w14:paraId="2825CD22" w14:textId="5186841D" w:rsidR="005316ED" w:rsidRPr="00EC28E1" w:rsidRDefault="00FF6A01" w:rsidP="003F0BF9">
      <w:pPr>
        <w:pStyle w:val="Titolo1"/>
      </w:pPr>
      <w:bookmarkStart w:id="2" w:name="_Toc163127407"/>
      <w:r w:rsidRPr="00EC28E1">
        <w:t xml:space="preserve">Dati relativi alla gestione </w:t>
      </w:r>
      <w:r w:rsidR="00594C60" w:rsidRPr="00EC28E1">
        <w:t xml:space="preserve">dell’ambito </w:t>
      </w:r>
      <w:r w:rsidR="00AD6765">
        <w:t>tariffario (G)</w:t>
      </w:r>
      <w:bookmarkEnd w:id="2"/>
    </w:p>
    <w:p w14:paraId="56B02E7B" w14:textId="57B21CE3" w:rsidR="00DD6B57" w:rsidRPr="00F57AA6" w:rsidRDefault="00DD6B57" w:rsidP="00DD6B57">
      <w:pPr>
        <w:rPr>
          <w:rFonts w:asciiTheme="minorHAnsi" w:hAnsiTheme="minorHAnsi"/>
        </w:rPr>
      </w:pPr>
      <w:r w:rsidRPr="00F57AA6">
        <w:rPr>
          <w:rFonts w:asciiTheme="minorHAnsi" w:hAnsiTheme="minorHAnsi"/>
        </w:rPr>
        <w:t xml:space="preserve">Con riferimento ai dati relativi alla gestione dell’ambito tariffario e a tutte le informazioni richieste dal paragrafo 3 dello schema tipo della Relazione di Accompagnamento </w:t>
      </w:r>
      <w:r w:rsidR="003D2918" w:rsidRPr="00F57AA6">
        <w:rPr>
          <w:rFonts w:asciiTheme="minorHAnsi" w:hAnsiTheme="minorHAnsi"/>
        </w:rPr>
        <w:t>fornito dall’Allegato 2 della Determinazione del 6 novembre 2023 n.1/2023 - DTAC</w:t>
      </w:r>
      <w:r w:rsidRPr="00F57AA6">
        <w:rPr>
          <w:rFonts w:asciiTheme="minorHAnsi" w:hAnsiTheme="minorHAnsi"/>
        </w:rPr>
        <w:t xml:space="preserve"> di ARERA si rimanda alla Relazione di Accompagnamento redatta dal </w:t>
      </w:r>
      <w:r w:rsidR="00791F68" w:rsidRPr="00F57AA6">
        <w:rPr>
          <w:rFonts w:asciiTheme="minorHAnsi" w:hAnsiTheme="minorHAnsi"/>
        </w:rPr>
        <w:t>G</w:t>
      </w:r>
      <w:r w:rsidRPr="00F57AA6">
        <w:rPr>
          <w:rFonts w:asciiTheme="minorHAnsi" w:hAnsiTheme="minorHAnsi"/>
        </w:rPr>
        <w:t>estore e al PEF 202</w:t>
      </w:r>
      <w:r w:rsidR="003D2918" w:rsidRPr="00F57AA6">
        <w:rPr>
          <w:rFonts w:asciiTheme="minorHAnsi" w:hAnsiTheme="minorHAnsi"/>
        </w:rPr>
        <w:t>4</w:t>
      </w:r>
      <w:r w:rsidRPr="00F57AA6">
        <w:rPr>
          <w:rFonts w:asciiTheme="minorHAnsi" w:hAnsiTheme="minorHAnsi"/>
        </w:rPr>
        <w:t>-2025 compilato dal Gestore stesso per quanto di sua competenza allegati alla presente relazione</w:t>
      </w:r>
      <w:r w:rsidR="003D2918" w:rsidRPr="00F57AA6">
        <w:rPr>
          <w:rFonts w:asciiTheme="minorHAnsi" w:hAnsiTheme="minorHAnsi"/>
        </w:rPr>
        <w:t>.</w:t>
      </w:r>
    </w:p>
    <w:p w14:paraId="666C2606" w14:textId="77777777" w:rsidR="00DA3A0C" w:rsidRDefault="00DA3A0C" w:rsidP="00DA3A0C">
      <w:pPr>
        <w:pStyle w:val="Titolo2"/>
      </w:pPr>
      <w:bookmarkStart w:id="3" w:name="_Toc61963249"/>
      <w:bookmarkStart w:id="4" w:name="_Toc95209858"/>
      <w:bookmarkStart w:id="5" w:name="_Toc163127408"/>
      <w:r>
        <w:t>Costi di competenza dell’Ente</w:t>
      </w:r>
      <w:bookmarkEnd w:id="3"/>
      <w:bookmarkEnd w:id="4"/>
      <w:r>
        <w:t>/Comune</w:t>
      </w:r>
      <w:bookmarkEnd w:id="5"/>
    </w:p>
    <w:p w14:paraId="5DFB9609" w14:textId="77C6C86F" w:rsidR="00DA3A0C" w:rsidRDefault="00DA3A0C" w:rsidP="00DA3A0C">
      <w:pPr>
        <w:rPr>
          <w:rFonts w:asciiTheme="minorHAnsi" w:hAnsiTheme="minorHAnsi"/>
          <w:lang w:eastAsia="en-GB"/>
        </w:rPr>
      </w:pPr>
      <w:r>
        <w:rPr>
          <w:lang w:eastAsia="en-GB"/>
        </w:rPr>
        <w:t xml:space="preserve">I costi consuntivi afferenti al ciclo integrato dei rifiuti urbani, sostenuti </w:t>
      </w:r>
      <w:r>
        <w:rPr>
          <w:rFonts w:asciiTheme="minorHAnsi" w:hAnsiTheme="minorHAnsi"/>
        </w:rPr>
        <w:t xml:space="preserve">dall’Ente/Comune </w:t>
      </w:r>
      <w:r>
        <w:rPr>
          <w:lang w:eastAsia="en-GB"/>
        </w:rPr>
        <w:t>e rappresentati nel bilancio 202</w:t>
      </w:r>
      <w:r w:rsidR="00BD5479">
        <w:rPr>
          <w:lang w:eastAsia="en-GB"/>
        </w:rPr>
        <w:t>2</w:t>
      </w:r>
      <w:r>
        <w:rPr>
          <w:lang w:eastAsia="en-GB"/>
        </w:rPr>
        <w:t xml:space="preserve">, concorrono attivamente alla determinazione delle entrate tariffarie per l’annualità di riferimento come esposto </w:t>
      </w:r>
      <w:r w:rsidR="00BD5479">
        <w:rPr>
          <w:rFonts w:asciiTheme="minorHAnsi" w:hAnsiTheme="minorHAnsi"/>
          <w:lang w:eastAsia="en-GB"/>
        </w:rPr>
        <w:t>nel</w:t>
      </w:r>
      <w:r w:rsidR="00E70BBD">
        <w:rPr>
          <w:rFonts w:asciiTheme="minorHAnsi" w:hAnsiTheme="minorHAnsi"/>
          <w:lang w:eastAsia="en-GB"/>
        </w:rPr>
        <w:t xml:space="preserve"> </w:t>
      </w:r>
      <w:r w:rsidR="00E70BBD" w:rsidRPr="00E70BBD">
        <w:rPr>
          <w:rFonts w:asciiTheme="minorHAnsi" w:hAnsiTheme="minorHAnsi"/>
          <w:i/>
          <w:iCs/>
          <w:lang w:eastAsia="en-GB"/>
        </w:rPr>
        <w:t>Tool</w:t>
      </w:r>
      <w:r w:rsidR="00E70BBD">
        <w:rPr>
          <w:rFonts w:asciiTheme="minorHAnsi" w:hAnsiTheme="minorHAnsi"/>
          <w:lang w:eastAsia="en-GB"/>
        </w:rPr>
        <w:t xml:space="preserve"> di calcolo - </w:t>
      </w:r>
      <w:r w:rsidR="00BD5479" w:rsidRPr="002E08A1">
        <w:rPr>
          <w:rFonts w:asciiTheme="minorHAnsi" w:hAnsiTheme="minorHAnsi"/>
        </w:rPr>
        <w:t xml:space="preserve">Allegato 1 della </w:t>
      </w:r>
      <w:r w:rsidR="00BD5479" w:rsidRPr="00137590">
        <w:rPr>
          <w:rFonts w:asciiTheme="minorHAnsi" w:hAnsiTheme="minorHAnsi"/>
        </w:rPr>
        <w:t xml:space="preserve">Determinazione </w:t>
      </w:r>
      <w:r w:rsidR="00BD5479">
        <w:rPr>
          <w:rFonts w:asciiTheme="minorHAnsi" w:hAnsiTheme="minorHAnsi"/>
        </w:rPr>
        <w:t>del 6</w:t>
      </w:r>
      <w:r w:rsidR="00BD5479" w:rsidRPr="00137590">
        <w:rPr>
          <w:rFonts w:asciiTheme="minorHAnsi" w:hAnsiTheme="minorHAnsi"/>
        </w:rPr>
        <w:t xml:space="preserve"> novembre 202</w:t>
      </w:r>
      <w:r w:rsidR="00BD5479">
        <w:rPr>
          <w:rFonts w:asciiTheme="minorHAnsi" w:hAnsiTheme="minorHAnsi"/>
        </w:rPr>
        <w:t>3</w:t>
      </w:r>
      <w:r w:rsidR="00BD5479" w:rsidRPr="00137590">
        <w:rPr>
          <w:rFonts w:asciiTheme="minorHAnsi" w:hAnsiTheme="minorHAnsi"/>
        </w:rPr>
        <w:t xml:space="preserve"> n.</w:t>
      </w:r>
      <w:r w:rsidR="00BD5479" w:rsidRPr="009419E5">
        <w:rPr>
          <w:rFonts w:asciiTheme="minorHAnsi" w:hAnsiTheme="minorHAnsi"/>
        </w:rPr>
        <w:t>1/2023 - DTAC</w:t>
      </w:r>
      <w:r>
        <w:rPr>
          <w:rFonts w:asciiTheme="minorHAnsi" w:hAnsiTheme="minorHAnsi"/>
          <w:smallCaps/>
        </w:rPr>
        <w:t>,</w:t>
      </w:r>
      <w:r>
        <w:rPr>
          <w:rFonts w:asciiTheme="minorHAnsi" w:hAnsiTheme="minorHAnsi"/>
          <w:lang w:eastAsia="en-GB"/>
        </w:rPr>
        <w:t xml:space="preserve"> allegat</w:t>
      </w:r>
      <w:r w:rsidR="00E70BBD">
        <w:rPr>
          <w:rFonts w:asciiTheme="minorHAnsi" w:hAnsiTheme="minorHAnsi"/>
          <w:lang w:eastAsia="en-GB"/>
        </w:rPr>
        <w:t>o</w:t>
      </w:r>
      <w:r>
        <w:rPr>
          <w:rFonts w:asciiTheme="minorHAnsi" w:hAnsiTheme="minorHAnsi"/>
          <w:lang w:eastAsia="en-GB"/>
        </w:rPr>
        <w:t xml:space="preserve"> alla presente relazione.</w:t>
      </w:r>
    </w:p>
    <w:p w14:paraId="17B7B9A7" w14:textId="77777777" w:rsidR="00DA3A0C" w:rsidRDefault="00DA3A0C" w:rsidP="00DA3A0C">
      <w:pPr>
        <w:rPr>
          <w:rFonts w:asciiTheme="minorHAnsi" w:hAnsiTheme="minorHAnsi"/>
          <w:lang w:eastAsia="en-GB"/>
        </w:rPr>
      </w:pPr>
      <w:r>
        <w:rPr>
          <w:rFonts w:asciiTheme="minorHAnsi" w:hAnsiTheme="minorHAnsi"/>
          <w:lang w:eastAsia="en-GB"/>
        </w:rPr>
        <w:t>Al fine di derivare i costi da ricomprendere a riconoscimento tariffario, l’Ente/</w:t>
      </w:r>
      <w:r>
        <w:rPr>
          <w:rFonts w:asciiTheme="minorHAnsi" w:hAnsiTheme="minorHAnsi"/>
        </w:rPr>
        <w:t>Comune</w:t>
      </w:r>
      <w:r>
        <w:rPr>
          <w:rFonts w:asciiTheme="minorHAnsi" w:hAnsiTheme="minorHAnsi"/>
          <w:lang w:eastAsia="en-GB"/>
        </w:rPr>
        <w:t>:</w:t>
      </w:r>
    </w:p>
    <w:p w14:paraId="7E5A0219" w14:textId="77777777" w:rsidR="00DA3A0C" w:rsidRDefault="00DA3A0C" w:rsidP="00DA3A0C">
      <w:pPr>
        <w:pStyle w:val="Paragrafoelenco"/>
        <w:numPr>
          <w:ilvl w:val="0"/>
          <w:numId w:val="26"/>
        </w:numPr>
        <w:spacing w:line="252" w:lineRule="auto"/>
        <w:jc w:val="both"/>
        <w:rPr>
          <w:rFonts w:asciiTheme="minorHAnsi" w:hAnsiTheme="minorHAnsi"/>
          <w:lang w:eastAsia="en-GB"/>
        </w:rPr>
      </w:pPr>
      <w:r>
        <w:rPr>
          <w:rFonts w:asciiTheme="minorHAnsi" w:hAnsiTheme="minorHAnsi"/>
          <w:lang w:eastAsia="en-GB"/>
        </w:rPr>
        <w:t>ha identificato i soli costi effettivamente sostenuti per l’attività del servizio rifiuti;</w:t>
      </w:r>
    </w:p>
    <w:p w14:paraId="5E0F6F64" w14:textId="77777777" w:rsidR="00DA3A0C" w:rsidRDefault="00DA3A0C" w:rsidP="00DA3A0C">
      <w:pPr>
        <w:pStyle w:val="Paragrafoelenco"/>
        <w:numPr>
          <w:ilvl w:val="0"/>
          <w:numId w:val="26"/>
        </w:numPr>
        <w:spacing w:line="252" w:lineRule="auto"/>
        <w:jc w:val="both"/>
        <w:rPr>
          <w:rFonts w:asciiTheme="minorHAnsi" w:hAnsiTheme="minorHAnsi"/>
          <w:lang w:eastAsia="en-GB"/>
        </w:rPr>
      </w:pPr>
      <w:r>
        <w:rPr>
          <w:rFonts w:asciiTheme="minorHAnsi" w:hAnsiTheme="minorHAnsi"/>
          <w:lang w:eastAsia="en-GB"/>
        </w:rPr>
        <w:t>ha determinato la quota relativa al servizio rifiuti, nel caso di costi comuni a più servizi, mediante l’identificazione di appositi criteri oggettivi e verificabili;</w:t>
      </w:r>
    </w:p>
    <w:p w14:paraId="11314857" w14:textId="1536E7A7" w:rsidR="00DA3A0C" w:rsidRPr="00EA0935" w:rsidRDefault="00DA3A0C" w:rsidP="00DA3A0C">
      <w:pPr>
        <w:pStyle w:val="Paragrafoelenco"/>
        <w:numPr>
          <w:ilvl w:val="0"/>
          <w:numId w:val="26"/>
        </w:numPr>
        <w:spacing w:line="252" w:lineRule="auto"/>
        <w:jc w:val="both"/>
        <w:rPr>
          <w:rFonts w:asciiTheme="minorHAnsi" w:hAnsiTheme="minorHAnsi"/>
          <w:lang w:eastAsia="en-GB"/>
        </w:rPr>
      </w:pPr>
      <w:r>
        <w:rPr>
          <w:rFonts w:asciiTheme="minorHAnsi" w:hAnsiTheme="minorHAnsi"/>
          <w:lang w:eastAsia="en-GB"/>
        </w:rPr>
        <w:t>ha considerato esclusivamente le attività rientranti nel perimetro del servizio definito dall’art. 1.2 del MTR</w:t>
      </w:r>
      <w:r w:rsidR="00E70BBD">
        <w:rPr>
          <w:rFonts w:asciiTheme="minorHAnsi" w:hAnsiTheme="minorHAnsi"/>
          <w:lang w:eastAsia="en-GB"/>
        </w:rPr>
        <w:t xml:space="preserve"> </w:t>
      </w:r>
      <w:r w:rsidR="00E70BBD" w:rsidRPr="00EA0935">
        <w:rPr>
          <w:rFonts w:asciiTheme="minorHAnsi" w:hAnsiTheme="minorHAnsi"/>
          <w:lang w:eastAsia="en-GB"/>
        </w:rPr>
        <w:t>aggiornato</w:t>
      </w:r>
      <w:r w:rsidRPr="00EA0935">
        <w:rPr>
          <w:rFonts w:asciiTheme="minorHAnsi" w:hAnsiTheme="minorHAnsi"/>
          <w:lang w:eastAsia="en-GB"/>
        </w:rPr>
        <w:t>,</w:t>
      </w:r>
    </w:p>
    <w:p w14:paraId="2AB0F27F" w14:textId="3D8409F4" w:rsidR="00DA3A0C" w:rsidRPr="00EA0935" w:rsidRDefault="00DA3A0C" w:rsidP="00DA3A0C">
      <w:pPr>
        <w:pStyle w:val="Paragrafoelenco"/>
        <w:numPr>
          <w:ilvl w:val="0"/>
          <w:numId w:val="26"/>
        </w:numPr>
        <w:spacing w:line="252" w:lineRule="auto"/>
        <w:jc w:val="both"/>
        <w:rPr>
          <w:rFonts w:asciiTheme="minorHAnsi" w:hAnsiTheme="minorHAnsi"/>
          <w:lang w:eastAsia="en-GB"/>
        </w:rPr>
      </w:pPr>
      <w:r w:rsidRPr="00EA0935">
        <w:rPr>
          <w:rFonts w:asciiTheme="minorHAnsi" w:hAnsiTheme="minorHAnsi"/>
          <w:lang w:eastAsia="en-GB"/>
        </w:rPr>
        <w:t xml:space="preserve">ha considerato i cespiti di proprietà ed utilizzati dall’Ente/Comune. </w:t>
      </w:r>
    </w:p>
    <w:p w14:paraId="69446279" w14:textId="2DCA6A89" w:rsidR="00700758" w:rsidRDefault="00700758" w:rsidP="00700758">
      <w:pPr>
        <w:pStyle w:val="Titolo1"/>
      </w:pPr>
      <w:bookmarkStart w:id="6" w:name="_Toc93658142"/>
      <w:bookmarkStart w:id="7" w:name="_Toc163127409"/>
      <w:r>
        <w:t>Attività di validazione</w:t>
      </w:r>
      <w:bookmarkEnd w:id="6"/>
      <w:r w:rsidR="00E70BBD">
        <w:t xml:space="preserve"> (ETC)</w:t>
      </w:r>
      <w:bookmarkEnd w:id="7"/>
    </w:p>
    <w:p w14:paraId="51BEED80" w14:textId="77777777" w:rsidR="00700758" w:rsidRDefault="00700758" w:rsidP="00DA3A0C">
      <w:pPr>
        <w:pStyle w:val="Titolo2"/>
      </w:pPr>
      <w:bookmarkStart w:id="8" w:name="_Toc43722727"/>
      <w:bookmarkStart w:id="9" w:name="_Toc93658143"/>
      <w:bookmarkStart w:id="10" w:name="_Toc163127410"/>
      <w:r>
        <w:t>Attività di validazione svolta</w:t>
      </w:r>
      <w:bookmarkEnd w:id="8"/>
      <w:bookmarkEnd w:id="9"/>
      <w:bookmarkEnd w:id="10"/>
    </w:p>
    <w:p w14:paraId="24AA3A84" w14:textId="6D3271DC" w:rsidR="00700758" w:rsidRPr="00555B2D" w:rsidRDefault="00700758" w:rsidP="00700758">
      <w:pPr>
        <w:rPr>
          <w:rFonts w:asciiTheme="minorHAnsi" w:hAnsiTheme="minorHAnsi"/>
        </w:rPr>
      </w:pPr>
      <w:r w:rsidRPr="00555B2D">
        <w:rPr>
          <w:lang w:eastAsia="en-GB"/>
        </w:rPr>
        <w:t xml:space="preserve">Alla luce dei documenti prodotti dal </w:t>
      </w:r>
      <w:r w:rsidR="00BE7E75">
        <w:rPr>
          <w:lang w:eastAsia="en-GB"/>
        </w:rPr>
        <w:t>G</w:t>
      </w:r>
      <w:r w:rsidRPr="00555B2D">
        <w:rPr>
          <w:lang w:eastAsia="en-GB"/>
        </w:rPr>
        <w:t>estore</w:t>
      </w:r>
      <w:r w:rsidRPr="00555B2D">
        <w:rPr>
          <w:rFonts w:asciiTheme="minorHAnsi" w:hAnsiTheme="minorHAnsi"/>
        </w:rPr>
        <w:t>,</w:t>
      </w:r>
      <w:r w:rsidR="009747B6">
        <w:rPr>
          <w:rFonts w:asciiTheme="minorHAnsi" w:hAnsiTheme="minorHAnsi"/>
        </w:rPr>
        <w:t xml:space="preserve"> </w:t>
      </w:r>
      <w:r w:rsidR="00D6111A">
        <w:rPr>
          <w:rFonts w:asciiTheme="minorHAnsi" w:hAnsiTheme="minorHAnsi"/>
        </w:rPr>
        <w:t>l’Ente scrivente</w:t>
      </w:r>
      <w:r w:rsidRPr="00555B2D">
        <w:rPr>
          <w:rFonts w:asciiTheme="minorHAnsi" w:hAnsiTheme="minorHAnsi"/>
        </w:rPr>
        <w:t xml:space="preserve">, in qualità di </w:t>
      </w:r>
      <w:r w:rsidR="00791F68">
        <w:rPr>
          <w:rFonts w:asciiTheme="minorHAnsi" w:hAnsiTheme="minorHAnsi"/>
        </w:rPr>
        <w:t>E</w:t>
      </w:r>
      <w:r w:rsidRPr="00555B2D">
        <w:rPr>
          <w:rFonts w:asciiTheme="minorHAnsi" w:hAnsiTheme="minorHAnsi"/>
        </w:rPr>
        <w:t xml:space="preserve">nte </w:t>
      </w:r>
      <w:r w:rsidR="00791F68">
        <w:rPr>
          <w:rFonts w:asciiTheme="minorHAnsi" w:hAnsiTheme="minorHAnsi"/>
        </w:rPr>
        <w:t>T</w:t>
      </w:r>
      <w:r w:rsidRPr="00555B2D">
        <w:rPr>
          <w:rFonts w:asciiTheme="minorHAnsi" w:hAnsiTheme="minorHAnsi"/>
        </w:rPr>
        <w:t xml:space="preserve">erritorialmente </w:t>
      </w:r>
      <w:r w:rsidR="00791F68">
        <w:rPr>
          <w:rFonts w:asciiTheme="minorHAnsi" w:hAnsiTheme="minorHAnsi"/>
        </w:rPr>
        <w:t>C</w:t>
      </w:r>
      <w:r w:rsidRPr="00555B2D">
        <w:rPr>
          <w:rFonts w:asciiTheme="minorHAnsi" w:hAnsiTheme="minorHAnsi"/>
        </w:rPr>
        <w:t>ompetente, ha svolto una approfondita analisi di validazione e verifica degli stessi, esamina</w:t>
      </w:r>
      <w:r w:rsidR="00E70BBD">
        <w:rPr>
          <w:rFonts w:asciiTheme="minorHAnsi" w:hAnsiTheme="minorHAnsi"/>
        </w:rPr>
        <w:t>ndo</w:t>
      </w:r>
      <w:r w:rsidRPr="00555B2D">
        <w:rPr>
          <w:rFonts w:asciiTheme="minorHAnsi" w:hAnsiTheme="minorHAnsi"/>
        </w:rPr>
        <w:t xml:space="preserve"> nel dettaglio i</w:t>
      </w:r>
      <w:r w:rsidR="00E70BBD">
        <w:rPr>
          <w:rFonts w:asciiTheme="minorHAnsi" w:hAnsiTheme="minorHAnsi"/>
        </w:rPr>
        <w:t xml:space="preserve"> dati e le informazioni</w:t>
      </w:r>
      <w:r w:rsidRPr="00555B2D">
        <w:rPr>
          <w:rFonts w:asciiTheme="minorHAnsi" w:hAnsiTheme="minorHAnsi"/>
        </w:rPr>
        <w:t xml:space="preserve"> comunicati e le evidenze </w:t>
      </w:r>
      <w:r w:rsidR="00E70BBD">
        <w:rPr>
          <w:rFonts w:asciiTheme="minorHAnsi" w:hAnsiTheme="minorHAnsi"/>
        </w:rPr>
        <w:t xml:space="preserve">contabili </w:t>
      </w:r>
      <w:r w:rsidRPr="00555B2D">
        <w:rPr>
          <w:rFonts w:asciiTheme="minorHAnsi" w:hAnsiTheme="minorHAnsi"/>
        </w:rPr>
        <w:t>sottostanti.</w:t>
      </w:r>
    </w:p>
    <w:p w14:paraId="5A6A1E6D" w14:textId="1700C37E" w:rsidR="00700758" w:rsidRPr="00555B2D" w:rsidRDefault="00700758" w:rsidP="00700758">
      <w:pPr>
        <w:rPr>
          <w:rFonts w:asciiTheme="minorHAnsi" w:hAnsiTheme="minorHAnsi"/>
        </w:rPr>
      </w:pPr>
      <w:r w:rsidRPr="00555B2D">
        <w:rPr>
          <w:rFonts w:asciiTheme="minorHAnsi" w:hAnsiTheme="minorHAnsi"/>
        </w:rPr>
        <w:t xml:space="preserve">Nel dettaglio, </w:t>
      </w:r>
      <w:r w:rsidR="00BE7E75">
        <w:rPr>
          <w:rFonts w:asciiTheme="minorHAnsi" w:hAnsiTheme="minorHAnsi"/>
        </w:rPr>
        <w:t xml:space="preserve">l’ETC </w:t>
      </w:r>
      <w:r w:rsidRPr="00555B2D">
        <w:rPr>
          <w:rFonts w:asciiTheme="minorHAnsi" w:hAnsiTheme="minorHAnsi"/>
        </w:rPr>
        <w:t>ha verificato:</w:t>
      </w:r>
    </w:p>
    <w:p w14:paraId="0CFA604D" w14:textId="50F7C26D" w:rsidR="00EF1811" w:rsidRPr="00EF1811" w:rsidRDefault="00D6111A" w:rsidP="00EF1811">
      <w:pPr>
        <w:pStyle w:val="Paragrafoelenco"/>
        <w:numPr>
          <w:ilvl w:val="0"/>
          <w:numId w:val="6"/>
        </w:numPr>
        <w:jc w:val="both"/>
        <w:rPr>
          <w:rFonts w:asciiTheme="minorHAnsi" w:hAnsiTheme="minorHAnsi"/>
          <w:szCs w:val="24"/>
          <w:lang w:eastAsia="en-GB"/>
        </w:rPr>
      </w:pPr>
      <w:r>
        <w:rPr>
          <w:rFonts w:asciiTheme="minorHAnsi" w:hAnsiTheme="minorHAnsi"/>
          <w:szCs w:val="24"/>
          <w:lang w:eastAsia="en-GB"/>
        </w:rPr>
        <w:lastRenderedPageBreak/>
        <w:t xml:space="preserve">La provenienza da fonti contabili obbligatorie dei dati prodotti dal </w:t>
      </w:r>
      <w:r w:rsidR="00F5698B">
        <w:rPr>
          <w:rFonts w:asciiTheme="minorHAnsi" w:hAnsiTheme="minorHAnsi"/>
          <w:szCs w:val="24"/>
          <w:lang w:eastAsia="en-GB"/>
        </w:rPr>
        <w:t>G</w:t>
      </w:r>
      <w:r>
        <w:rPr>
          <w:rFonts w:asciiTheme="minorHAnsi" w:hAnsiTheme="minorHAnsi"/>
          <w:szCs w:val="24"/>
          <w:lang w:eastAsia="en-GB"/>
        </w:rPr>
        <w:t>estore avvalendosi di documenti aziendali</w:t>
      </w:r>
      <w:r w:rsidR="00EF1811">
        <w:rPr>
          <w:rFonts w:asciiTheme="minorHAnsi" w:hAnsiTheme="minorHAnsi"/>
          <w:szCs w:val="24"/>
          <w:lang w:eastAsia="en-GB"/>
        </w:rPr>
        <w:t>:</w:t>
      </w:r>
    </w:p>
    <w:p w14:paraId="7C7EC313" w14:textId="63624F6A" w:rsidR="00D6111A" w:rsidRDefault="00D6111A" w:rsidP="00EF1811">
      <w:pPr>
        <w:pStyle w:val="Paragrafoelenco"/>
        <w:numPr>
          <w:ilvl w:val="2"/>
          <w:numId w:val="6"/>
        </w:numPr>
        <w:ind w:left="993" w:hanging="284"/>
        <w:jc w:val="both"/>
        <w:rPr>
          <w:rFonts w:asciiTheme="minorHAnsi" w:hAnsiTheme="minorHAnsi"/>
          <w:szCs w:val="24"/>
          <w:lang w:eastAsia="en-GB"/>
        </w:rPr>
      </w:pPr>
      <w:r>
        <w:rPr>
          <w:rFonts w:asciiTheme="minorHAnsi" w:hAnsiTheme="minorHAnsi"/>
          <w:szCs w:val="24"/>
          <w:lang w:eastAsia="en-GB"/>
        </w:rPr>
        <w:t>certificati quali il bilancio di esercizio, la nota integrativa ed il libro cespiti;</w:t>
      </w:r>
    </w:p>
    <w:p w14:paraId="30F685FB" w14:textId="418F282E" w:rsidR="00D6111A" w:rsidRPr="00EF1811" w:rsidRDefault="00D6111A" w:rsidP="00EF1811">
      <w:pPr>
        <w:pStyle w:val="Paragrafoelenco"/>
        <w:numPr>
          <w:ilvl w:val="0"/>
          <w:numId w:val="6"/>
        </w:numPr>
        <w:jc w:val="both"/>
        <w:rPr>
          <w:rFonts w:asciiTheme="minorHAnsi" w:hAnsiTheme="minorHAnsi"/>
          <w:szCs w:val="24"/>
          <w:lang w:eastAsia="en-GB"/>
        </w:rPr>
      </w:pPr>
      <w:r>
        <w:rPr>
          <w:rFonts w:asciiTheme="minorHAnsi" w:hAnsiTheme="minorHAnsi"/>
          <w:szCs w:val="24"/>
          <w:lang w:eastAsia="en-GB"/>
        </w:rPr>
        <w:t xml:space="preserve">La coerenza e la quadratura dei dati prodotti rispetto alle sopracitate fonti contabili obbligatorie </w:t>
      </w:r>
      <w:r w:rsidR="00EF1811" w:rsidRPr="00F57AA6">
        <w:rPr>
          <w:rFonts w:asciiTheme="minorHAnsi" w:hAnsiTheme="minorHAnsi"/>
          <w:szCs w:val="24"/>
          <w:lang w:eastAsia="en-GB"/>
        </w:rPr>
        <w:t xml:space="preserve">o fonti contabili interne </w:t>
      </w:r>
      <w:r>
        <w:rPr>
          <w:rFonts w:asciiTheme="minorHAnsi" w:hAnsiTheme="minorHAnsi"/>
          <w:szCs w:val="24"/>
          <w:lang w:eastAsia="en-GB"/>
        </w:rPr>
        <w:t xml:space="preserve">per mezzo di prospetti riepilogativi forniti dal </w:t>
      </w:r>
      <w:r w:rsidR="00F5698B">
        <w:rPr>
          <w:rFonts w:asciiTheme="minorHAnsi" w:hAnsiTheme="minorHAnsi"/>
          <w:szCs w:val="24"/>
          <w:lang w:eastAsia="en-GB"/>
        </w:rPr>
        <w:t>G</w:t>
      </w:r>
      <w:r>
        <w:rPr>
          <w:rFonts w:asciiTheme="minorHAnsi" w:hAnsiTheme="minorHAnsi"/>
          <w:szCs w:val="24"/>
          <w:lang w:eastAsia="en-GB"/>
        </w:rPr>
        <w:t>estore stesso;</w:t>
      </w:r>
    </w:p>
    <w:p w14:paraId="05B2871E" w14:textId="2579F2CB" w:rsidR="00700758" w:rsidRPr="00FC349D" w:rsidRDefault="00700758" w:rsidP="00700758">
      <w:pPr>
        <w:pStyle w:val="Paragrafoelenco"/>
        <w:numPr>
          <w:ilvl w:val="0"/>
          <w:numId w:val="6"/>
        </w:numPr>
        <w:jc w:val="both"/>
        <w:rPr>
          <w:rFonts w:asciiTheme="minorHAnsi" w:hAnsiTheme="minorHAnsi"/>
          <w:szCs w:val="24"/>
          <w:lang w:eastAsia="en-GB"/>
        </w:rPr>
      </w:pPr>
      <w:r w:rsidRPr="00FC349D">
        <w:rPr>
          <w:rFonts w:asciiTheme="minorHAnsi" w:hAnsiTheme="minorHAnsi"/>
          <w:szCs w:val="24"/>
          <w:lang w:eastAsia="en-GB"/>
        </w:rPr>
        <w:t xml:space="preserve">La rigorosa applicazione da parte del </w:t>
      </w:r>
      <w:r w:rsidR="00F5698B">
        <w:rPr>
          <w:rFonts w:asciiTheme="minorHAnsi" w:hAnsiTheme="minorHAnsi"/>
          <w:szCs w:val="24"/>
          <w:lang w:eastAsia="en-GB"/>
        </w:rPr>
        <w:t>G</w:t>
      </w:r>
      <w:r w:rsidRPr="00FC349D">
        <w:rPr>
          <w:rFonts w:asciiTheme="minorHAnsi" w:hAnsiTheme="minorHAnsi"/>
          <w:szCs w:val="24"/>
          <w:lang w:eastAsia="en-GB"/>
        </w:rPr>
        <w:t xml:space="preserve">estore del metodo identificato </w:t>
      </w:r>
      <w:r w:rsidR="00F5698B">
        <w:rPr>
          <w:rFonts w:asciiTheme="minorHAnsi" w:hAnsiTheme="minorHAnsi"/>
          <w:szCs w:val="24"/>
          <w:lang w:eastAsia="en-GB"/>
        </w:rPr>
        <w:t xml:space="preserve">dal </w:t>
      </w:r>
      <w:r>
        <w:rPr>
          <w:rFonts w:asciiTheme="minorHAnsi" w:hAnsiTheme="minorHAnsi"/>
          <w:szCs w:val="24"/>
          <w:lang w:eastAsia="en-GB"/>
        </w:rPr>
        <w:t>MTR-2</w:t>
      </w:r>
      <w:r w:rsidR="00F5698B">
        <w:rPr>
          <w:rFonts w:asciiTheme="minorHAnsi" w:hAnsiTheme="minorHAnsi"/>
          <w:szCs w:val="24"/>
          <w:lang w:eastAsia="en-GB"/>
        </w:rPr>
        <w:t xml:space="preserve"> </w:t>
      </w:r>
      <w:r w:rsidR="00E70BBD">
        <w:rPr>
          <w:rFonts w:asciiTheme="minorHAnsi" w:hAnsiTheme="minorHAnsi"/>
          <w:szCs w:val="24"/>
          <w:lang w:eastAsia="en-GB"/>
        </w:rPr>
        <w:t xml:space="preserve">aggiornato </w:t>
      </w:r>
      <w:r w:rsidR="00F5698B">
        <w:rPr>
          <w:rFonts w:asciiTheme="minorHAnsi" w:hAnsiTheme="minorHAnsi"/>
          <w:szCs w:val="24"/>
          <w:lang w:eastAsia="en-GB"/>
        </w:rPr>
        <w:t xml:space="preserve">per </w:t>
      </w:r>
      <w:r w:rsidRPr="00FC349D">
        <w:rPr>
          <w:rFonts w:asciiTheme="minorHAnsi" w:hAnsiTheme="minorHAnsi"/>
          <w:szCs w:val="24"/>
          <w:lang w:eastAsia="en-GB"/>
        </w:rPr>
        <w:t xml:space="preserve">l’individuazione dei costi ammessi a riconoscimento tariffario secondo quanto previsto dall’art. </w:t>
      </w:r>
      <w:r>
        <w:rPr>
          <w:rFonts w:asciiTheme="minorHAnsi" w:hAnsiTheme="minorHAnsi"/>
          <w:szCs w:val="24"/>
          <w:lang w:eastAsia="en-GB"/>
        </w:rPr>
        <w:t>7</w:t>
      </w:r>
      <w:r w:rsidRPr="00FC349D">
        <w:rPr>
          <w:rFonts w:asciiTheme="minorHAnsi" w:hAnsiTheme="minorHAnsi"/>
          <w:szCs w:val="24"/>
          <w:lang w:eastAsia="en-GB"/>
        </w:rPr>
        <w:t xml:space="preserve"> dell</w:t>
      </w:r>
      <w:r>
        <w:rPr>
          <w:rFonts w:asciiTheme="minorHAnsi" w:hAnsiTheme="minorHAnsi"/>
          <w:szCs w:val="24"/>
          <w:lang w:eastAsia="en-GB"/>
        </w:rPr>
        <w:t>o</w:t>
      </w:r>
      <w:r w:rsidRPr="00FC349D">
        <w:rPr>
          <w:rFonts w:asciiTheme="minorHAnsi" w:hAnsiTheme="minorHAnsi"/>
          <w:szCs w:val="24"/>
          <w:lang w:eastAsia="en-GB"/>
        </w:rPr>
        <w:t xml:space="preserve"> stess</w:t>
      </w:r>
      <w:r>
        <w:rPr>
          <w:rFonts w:asciiTheme="minorHAnsi" w:hAnsiTheme="minorHAnsi"/>
          <w:szCs w:val="24"/>
          <w:lang w:eastAsia="en-GB"/>
        </w:rPr>
        <w:t>o</w:t>
      </w:r>
      <w:r w:rsidRPr="00FC349D">
        <w:rPr>
          <w:rFonts w:asciiTheme="minorHAnsi" w:hAnsiTheme="minorHAnsi"/>
          <w:szCs w:val="24"/>
          <w:lang w:eastAsia="en-GB"/>
        </w:rPr>
        <w:t>;</w:t>
      </w:r>
    </w:p>
    <w:p w14:paraId="2CF62DA4" w14:textId="2C77B0F1" w:rsidR="00700758" w:rsidRPr="00FC349D" w:rsidRDefault="00700758" w:rsidP="00700758">
      <w:pPr>
        <w:pStyle w:val="Paragrafoelenco"/>
        <w:numPr>
          <w:ilvl w:val="0"/>
          <w:numId w:val="6"/>
        </w:numPr>
        <w:jc w:val="both"/>
        <w:rPr>
          <w:rFonts w:asciiTheme="minorHAnsi" w:hAnsiTheme="minorHAnsi"/>
          <w:szCs w:val="24"/>
          <w:lang w:eastAsia="en-GB"/>
        </w:rPr>
      </w:pPr>
      <w:r w:rsidRPr="00FC349D">
        <w:rPr>
          <w:rFonts w:asciiTheme="minorHAnsi" w:hAnsiTheme="minorHAnsi"/>
          <w:szCs w:val="24"/>
          <w:lang w:eastAsia="en-GB"/>
        </w:rPr>
        <w:t>La corretta esclusione a riconoscimento tariffario delle attività esterne al ciclo integrato dei rifiuti così come indicato dall’art. 1.1 del</w:t>
      </w:r>
      <w:r>
        <w:rPr>
          <w:rFonts w:asciiTheme="minorHAnsi" w:hAnsiTheme="minorHAnsi"/>
          <w:szCs w:val="24"/>
          <w:lang w:eastAsia="en-GB"/>
        </w:rPr>
        <w:t xml:space="preserve"> MTR-2</w:t>
      </w:r>
      <w:r w:rsidR="00E70BBD" w:rsidRPr="00E70BBD">
        <w:rPr>
          <w:rFonts w:asciiTheme="minorHAnsi" w:hAnsiTheme="minorHAnsi"/>
          <w:szCs w:val="24"/>
          <w:lang w:eastAsia="en-GB"/>
        </w:rPr>
        <w:t xml:space="preserve"> </w:t>
      </w:r>
      <w:r w:rsidR="00E70BBD">
        <w:rPr>
          <w:rFonts w:asciiTheme="minorHAnsi" w:hAnsiTheme="minorHAnsi"/>
          <w:szCs w:val="24"/>
          <w:lang w:eastAsia="en-GB"/>
        </w:rPr>
        <w:t>aggiornato</w:t>
      </w:r>
      <w:r w:rsidR="00F57AA6">
        <w:rPr>
          <w:rFonts w:asciiTheme="minorHAnsi" w:hAnsiTheme="minorHAnsi"/>
          <w:szCs w:val="24"/>
          <w:lang w:eastAsia="en-GB"/>
        </w:rPr>
        <w:t>;</w:t>
      </w:r>
    </w:p>
    <w:p w14:paraId="7B41B8B4" w14:textId="590BDF6B" w:rsidR="00700758" w:rsidRPr="00FC349D" w:rsidRDefault="00700758" w:rsidP="00700758">
      <w:pPr>
        <w:pStyle w:val="Paragrafoelenco"/>
        <w:numPr>
          <w:ilvl w:val="0"/>
          <w:numId w:val="6"/>
        </w:numPr>
        <w:jc w:val="both"/>
        <w:rPr>
          <w:rFonts w:asciiTheme="minorHAnsi" w:hAnsiTheme="minorHAnsi"/>
          <w:szCs w:val="24"/>
          <w:lang w:eastAsia="en-GB"/>
        </w:rPr>
      </w:pPr>
      <w:r w:rsidRPr="00FC349D">
        <w:rPr>
          <w:rFonts w:asciiTheme="minorHAnsi" w:hAnsiTheme="minorHAnsi"/>
          <w:szCs w:val="24"/>
          <w:lang w:eastAsia="en-GB"/>
        </w:rPr>
        <w:t xml:space="preserve">La corretta individuazione ed esclusione a riconoscimento tariffario delle voci di costo operativo riferite alle attività afferenti al ciclo integrato dei rifiuti denominate poste rettificative </w:t>
      </w:r>
      <w:proofErr w:type="gramStart"/>
      <w:r w:rsidRPr="00FC349D">
        <w:rPr>
          <w:rFonts w:asciiTheme="minorHAnsi" w:hAnsiTheme="minorHAnsi"/>
          <w:szCs w:val="24"/>
          <w:lang w:eastAsia="en-GB"/>
        </w:rPr>
        <w:t>ed</w:t>
      </w:r>
      <w:proofErr w:type="gramEnd"/>
      <w:r w:rsidRPr="00FC349D">
        <w:rPr>
          <w:rFonts w:asciiTheme="minorHAnsi" w:hAnsiTheme="minorHAnsi"/>
          <w:szCs w:val="24"/>
          <w:lang w:eastAsia="en-GB"/>
        </w:rPr>
        <w:t xml:space="preserve"> identificate dall’art. 1.1 del</w:t>
      </w:r>
      <w:r>
        <w:rPr>
          <w:rFonts w:asciiTheme="minorHAnsi" w:hAnsiTheme="minorHAnsi"/>
          <w:szCs w:val="24"/>
          <w:lang w:eastAsia="en-GB"/>
        </w:rPr>
        <w:t xml:space="preserve"> MTR-2</w:t>
      </w:r>
      <w:r w:rsidR="00E70BBD" w:rsidRPr="00E70BBD">
        <w:rPr>
          <w:rFonts w:asciiTheme="minorHAnsi" w:hAnsiTheme="minorHAnsi"/>
          <w:szCs w:val="24"/>
          <w:lang w:eastAsia="en-GB"/>
        </w:rPr>
        <w:t xml:space="preserve"> </w:t>
      </w:r>
      <w:r w:rsidR="00E70BBD">
        <w:rPr>
          <w:rFonts w:asciiTheme="minorHAnsi" w:hAnsiTheme="minorHAnsi"/>
          <w:szCs w:val="24"/>
          <w:lang w:eastAsia="en-GB"/>
        </w:rPr>
        <w:t>aggiornato</w:t>
      </w:r>
      <w:r w:rsidRPr="00FC349D">
        <w:rPr>
          <w:rFonts w:asciiTheme="minorHAnsi" w:hAnsiTheme="minorHAnsi"/>
          <w:smallCaps/>
        </w:rPr>
        <w:t>;</w:t>
      </w:r>
    </w:p>
    <w:p w14:paraId="2357C036" w14:textId="02AEBBC4" w:rsidR="00700758" w:rsidRPr="00FC349D" w:rsidRDefault="00700758" w:rsidP="00700758">
      <w:pPr>
        <w:pStyle w:val="Paragrafoelenco"/>
        <w:numPr>
          <w:ilvl w:val="0"/>
          <w:numId w:val="6"/>
        </w:numPr>
        <w:jc w:val="both"/>
        <w:rPr>
          <w:rFonts w:asciiTheme="minorHAnsi" w:hAnsiTheme="minorHAnsi"/>
          <w:szCs w:val="24"/>
          <w:lang w:eastAsia="en-GB"/>
        </w:rPr>
      </w:pPr>
      <w:r w:rsidRPr="00FC349D">
        <w:rPr>
          <w:rFonts w:asciiTheme="minorHAnsi" w:hAnsiTheme="minorHAnsi"/>
          <w:szCs w:val="24"/>
          <w:lang w:eastAsia="en-GB"/>
        </w:rPr>
        <w:t xml:space="preserve">I </w:t>
      </w:r>
      <w:r w:rsidRPr="00F5698B">
        <w:rPr>
          <w:rFonts w:asciiTheme="minorHAnsi" w:hAnsiTheme="minorHAnsi"/>
          <w:i/>
          <w:iCs/>
          <w:szCs w:val="24"/>
          <w:lang w:eastAsia="en-GB"/>
        </w:rPr>
        <w:t>driver</w:t>
      </w:r>
      <w:r w:rsidRPr="00FC349D">
        <w:rPr>
          <w:rFonts w:asciiTheme="minorHAnsi" w:hAnsiTheme="minorHAnsi"/>
          <w:szCs w:val="24"/>
          <w:lang w:eastAsia="en-GB"/>
        </w:rPr>
        <w:t xml:space="preserve"> di allocazione delle poste comuni a più attività del ciclo integrato dei rifiuti urbani utilizzati dal </w:t>
      </w:r>
      <w:r w:rsidR="00F5698B">
        <w:rPr>
          <w:rFonts w:asciiTheme="minorHAnsi" w:hAnsiTheme="minorHAnsi"/>
          <w:szCs w:val="24"/>
          <w:lang w:eastAsia="en-GB"/>
        </w:rPr>
        <w:t>G</w:t>
      </w:r>
      <w:r w:rsidRPr="00FC349D">
        <w:rPr>
          <w:rFonts w:asciiTheme="minorHAnsi" w:hAnsiTheme="minorHAnsi"/>
          <w:szCs w:val="24"/>
          <w:lang w:eastAsia="en-GB"/>
        </w:rPr>
        <w:t>estore;</w:t>
      </w:r>
    </w:p>
    <w:p w14:paraId="7875A3F7" w14:textId="56335AB7" w:rsidR="00700758" w:rsidRDefault="00700758" w:rsidP="00700758">
      <w:pPr>
        <w:pStyle w:val="Paragrafoelenco"/>
        <w:numPr>
          <w:ilvl w:val="0"/>
          <w:numId w:val="6"/>
        </w:numPr>
        <w:jc w:val="both"/>
        <w:rPr>
          <w:rFonts w:asciiTheme="minorHAnsi" w:hAnsiTheme="minorHAnsi"/>
          <w:szCs w:val="24"/>
          <w:lang w:eastAsia="en-GB"/>
        </w:rPr>
      </w:pPr>
      <w:r w:rsidRPr="00FC349D">
        <w:rPr>
          <w:rFonts w:asciiTheme="minorHAnsi" w:hAnsiTheme="minorHAnsi"/>
          <w:szCs w:val="24"/>
          <w:lang w:eastAsia="en-GB"/>
        </w:rPr>
        <w:t xml:space="preserve">I </w:t>
      </w:r>
      <w:r w:rsidRPr="00F5698B">
        <w:rPr>
          <w:rFonts w:asciiTheme="minorHAnsi" w:hAnsiTheme="minorHAnsi"/>
          <w:i/>
          <w:iCs/>
          <w:szCs w:val="24"/>
          <w:lang w:eastAsia="en-GB"/>
        </w:rPr>
        <w:t>driver</w:t>
      </w:r>
      <w:r w:rsidRPr="00FC349D">
        <w:rPr>
          <w:rFonts w:asciiTheme="minorHAnsi" w:hAnsiTheme="minorHAnsi"/>
          <w:szCs w:val="24"/>
          <w:lang w:eastAsia="en-GB"/>
        </w:rPr>
        <w:t xml:space="preserve"> di allocazione territoriale delle poste economiche relative ad attività del ciclo integrato dei rifiuti urbani utilizzati dal </w:t>
      </w:r>
      <w:r w:rsidR="00F5698B">
        <w:rPr>
          <w:rFonts w:asciiTheme="minorHAnsi" w:hAnsiTheme="minorHAnsi"/>
          <w:szCs w:val="24"/>
          <w:lang w:eastAsia="en-GB"/>
        </w:rPr>
        <w:t>G</w:t>
      </w:r>
      <w:r w:rsidRPr="00FC349D">
        <w:rPr>
          <w:rFonts w:asciiTheme="minorHAnsi" w:hAnsiTheme="minorHAnsi"/>
          <w:szCs w:val="24"/>
          <w:lang w:eastAsia="en-GB"/>
        </w:rPr>
        <w:t>estore;</w:t>
      </w:r>
    </w:p>
    <w:p w14:paraId="5A585641" w14:textId="321B295B" w:rsidR="00E446E7" w:rsidRPr="00E446E7" w:rsidRDefault="00E446E7" w:rsidP="00E446E7">
      <w:pPr>
        <w:pStyle w:val="Paragrafoelenco"/>
        <w:numPr>
          <w:ilvl w:val="0"/>
          <w:numId w:val="6"/>
        </w:numPr>
        <w:jc w:val="both"/>
        <w:rPr>
          <w:rFonts w:asciiTheme="minorHAnsi" w:hAnsiTheme="minorHAnsi"/>
          <w:szCs w:val="24"/>
          <w:lang w:eastAsia="en-GB"/>
        </w:rPr>
      </w:pPr>
      <w:r>
        <w:rPr>
          <w:rFonts w:asciiTheme="minorHAnsi" w:hAnsiTheme="minorHAnsi"/>
          <w:szCs w:val="24"/>
          <w:lang w:eastAsia="en-GB"/>
        </w:rPr>
        <w:t xml:space="preserve">I costi sostenuti dal </w:t>
      </w:r>
      <w:r w:rsidR="00F5698B">
        <w:rPr>
          <w:rFonts w:asciiTheme="minorHAnsi" w:hAnsiTheme="minorHAnsi"/>
          <w:szCs w:val="24"/>
          <w:lang w:eastAsia="en-GB"/>
        </w:rPr>
        <w:t>G</w:t>
      </w:r>
      <w:r>
        <w:rPr>
          <w:rFonts w:asciiTheme="minorHAnsi" w:hAnsiTheme="minorHAnsi"/>
          <w:szCs w:val="24"/>
          <w:lang w:eastAsia="en-GB"/>
        </w:rPr>
        <w:t>estore per campagne ambientali e misure di prevenzione;</w:t>
      </w:r>
    </w:p>
    <w:p w14:paraId="54203E74" w14:textId="3607D9F1" w:rsidR="00700758" w:rsidRPr="00FC349D" w:rsidRDefault="00700758" w:rsidP="00700758">
      <w:pPr>
        <w:pStyle w:val="Paragrafoelenco"/>
        <w:numPr>
          <w:ilvl w:val="0"/>
          <w:numId w:val="6"/>
        </w:numPr>
        <w:jc w:val="both"/>
        <w:rPr>
          <w:rFonts w:asciiTheme="minorHAnsi" w:hAnsiTheme="minorHAnsi"/>
          <w:szCs w:val="24"/>
          <w:lang w:eastAsia="en-GB"/>
        </w:rPr>
      </w:pPr>
      <w:r w:rsidRPr="00FC349D">
        <w:rPr>
          <w:rFonts w:asciiTheme="minorHAnsi" w:hAnsiTheme="minorHAnsi"/>
          <w:szCs w:val="24"/>
          <w:lang w:eastAsia="en-GB"/>
        </w:rPr>
        <w:t>Il dettaglio d</w:t>
      </w:r>
      <w:r w:rsidR="00D3421F">
        <w:rPr>
          <w:rFonts w:asciiTheme="minorHAnsi" w:hAnsiTheme="minorHAnsi"/>
          <w:szCs w:val="24"/>
          <w:lang w:eastAsia="en-GB"/>
        </w:rPr>
        <w:t xml:space="preserve">i quanto inserito </w:t>
      </w:r>
      <w:r w:rsidRPr="00FC349D">
        <w:rPr>
          <w:rFonts w:asciiTheme="minorHAnsi" w:hAnsiTheme="minorHAnsi"/>
          <w:szCs w:val="24"/>
          <w:lang w:eastAsia="en-GB"/>
        </w:rPr>
        <w:t xml:space="preserve">nella componente </w:t>
      </w:r>
      <m:oMath>
        <m:sSub>
          <m:sSubPr>
            <m:ctrlPr>
              <w:rPr>
                <w:rFonts w:ascii="Cambria Math" w:hAnsi="Cambria Math"/>
                <w:i/>
                <w:szCs w:val="24"/>
                <w:lang w:eastAsia="en-GB"/>
              </w:rPr>
            </m:ctrlPr>
          </m:sSubPr>
          <m:e>
            <m:r>
              <w:rPr>
                <w:rFonts w:ascii="Cambria Math" w:hAnsi="Cambria Math"/>
                <w:szCs w:val="24"/>
                <w:lang w:eastAsia="en-GB"/>
              </w:rPr>
              <m:t>CO</m:t>
            </m:r>
          </m:e>
          <m:sub>
            <m:r>
              <w:rPr>
                <w:rFonts w:ascii="Cambria Math" w:hAnsi="Cambria Math"/>
                <w:szCs w:val="24"/>
                <w:lang w:eastAsia="en-GB"/>
              </w:rPr>
              <m:t>AL</m:t>
            </m:r>
          </m:sub>
        </m:sSub>
      </m:oMath>
      <w:r w:rsidRPr="00FC349D">
        <w:rPr>
          <w:rFonts w:asciiTheme="minorHAnsi" w:hAnsiTheme="minorHAnsi"/>
          <w:szCs w:val="24"/>
          <w:lang w:eastAsia="en-GB"/>
        </w:rPr>
        <w:t>;</w:t>
      </w:r>
    </w:p>
    <w:p w14:paraId="7408CE91" w14:textId="436B1D7B" w:rsidR="00700758" w:rsidRPr="00FC349D" w:rsidRDefault="00700758" w:rsidP="00700758">
      <w:pPr>
        <w:pStyle w:val="Paragrafoelenco"/>
        <w:numPr>
          <w:ilvl w:val="0"/>
          <w:numId w:val="6"/>
        </w:numPr>
        <w:jc w:val="both"/>
        <w:rPr>
          <w:rFonts w:asciiTheme="minorHAnsi" w:hAnsiTheme="minorHAnsi"/>
          <w:szCs w:val="24"/>
          <w:lang w:eastAsia="en-GB"/>
        </w:rPr>
      </w:pPr>
      <w:r w:rsidRPr="00FC349D">
        <w:rPr>
          <w:rFonts w:asciiTheme="minorHAnsi" w:hAnsiTheme="minorHAnsi"/>
          <w:szCs w:val="24"/>
          <w:lang w:eastAsia="en-GB"/>
        </w:rPr>
        <w:t>I ricavi provenienti dalla vendita di materiali e/o energia e i ricavi derivanti dai corrispettivi riconosciuti d</w:t>
      </w:r>
      <w:r w:rsidR="00E446E7">
        <w:rPr>
          <w:rFonts w:asciiTheme="minorHAnsi" w:hAnsiTheme="minorHAnsi"/>
          <w:szCs w:val="24"/>
          <w:lang w:eastAsia="en-GB"/>
        </w:rPr>
        <w:t xml:space="preserve">i sistemi collettivi di </w:t>
      </w:r>
      <w:r w:rsidR="00E446E7" w:rsidRPr="00E446E7">
        <w:rPr>
          <w:rFonts w:asciiTheme="minorHAnsi" w:hAnsiTheme="minorHAnsi"/>
          <w:i/>
          <w:iCs/>
          <w:szCs w:val="24"/>
          <w:lang w:eastAsia="en-GB"/>
        </w:rPr>
        <w:t>compliance</w:t>
      </w:r>
      <w:r w:rsidR="00E446E7">
        <w:rPr>
          <w:rFonts w:asciiTheme="minorHAnsi" w:hAnsiTheme="minorHAnsi"/>
          <w:szCs w:val="24"/>
          <w:lang w:eastAsia="en-GB"/>
        </w:rPr>
        <w:t xml:space="preserve"> agli obblighi di responsabilità estesa del produttore</w:t>
      </w:r>
      <w:r w:rsidRPr="00FC349D">
        <w:rPr>
          <w:rFonts w:asciiTheme="minorHAnsi" w:hAnsiTheme="minorHAnsi"/>
          <w:szCs w:val="24"/>
          <w:lang w:eastAsia="en-GB"/>
        </w:rPr>
        <w:t>;</w:t>
      </w:r>
    </w:p>
    <w:p w14:paraId="10E97622" w14:textId="2E4B768D" w:rsidR="00700758" w:rsidRDefault="00700758" w:rsidP="00700758">
      <w:pPr>
        <w:pStyle w:val="Paragrafoelenco"/>
        <w:numPr>
          <w:ilvl w:val="0"/>
          <w:numId w:val="6"/>
        </w:numPr>
        <w:jc w:val="both"/>
        <w:rPr>
          <w:rFonts w:asciiTheme="minorHAnsi" w:hAnsiTheme="minorHAnsi"/>
          <w:szCs w:val="24"/>
          <w:lang w:eastAsia="en-GB"/>
        </w:rPr>
      </w:pPr>
      <w:r w:rsidRPr="00FC349D">
        <w:rPr>
          <w:rFonts w:asciiTheme="minorHAnsi" w:hAnsiTheme="minorHAnsi"/>
          <w:szCs w:val="24"/>
          <w:lang w:eastAsia="en-GB"/>
        </w:rPr>
        <w:t xml:space="preserve">Eventuali altri ricavi riconducibili nella componente tariffaria </w:t>
      </w:r>
      <w:r w:rsidRPr="00E70BBD">
        <w:rPr>
          <w:rFonts w:ascii="Cambria Math" w:hAnsi="Cambria Math"/>
          <w:i/>
          <w:iCs/>
          <w:szCs w:val="24"/>
          <w:lang w:eastAsia="en-GB"/>
        </w:rPr>
        <w:t>AR</w:t>
      </w:r>
      <w:r w:rsidRPr="00FC349D">
        <w:rPr>
          <w:rFonts w:asciiTheme="minorHAnsi" w:hAnsiTheme="minorHAnsi"/>
          <w:szCs w:val="24"/>
          <w:lang w:eastAsia="en-GB"/>
        </w:rPr>
        <w:t xml:space="preserve"> così come individuato dall’art. 2.2 de</w:t>
      </w:r>
      <w:r>
        <w:rPr>
          <w:rFonts w:asciiTheme="minorHAnsi" w:hAnsiTheme="minorHAnsi"/>
          <w:szCs w:val="24"/>
          <w:lang w:eastAsia="en-GB"/>
        </w:rPr>
        <w:t>l MTR-2</w:t>
      </w:r>
      <w:r w:rsidR="00E70BBD">
        <w:rPr>
          <w:rFonts w:asciiTheme="minorHAnsi" w:hAnsiTheme="minorHAnsi"/>
          <w:szCs w:val="24"/>
          <w:lang w:eastAsia="en-GB"/>
        </w:rPr>
        <w:t xml:space="preserve"> aggiornato</w:t>
      </w:r>
      <w:r>
        <w:rPr>
          <w:rFonts w:asciiTheme="minorHAnsi" w:hAnsiTheme="minorHAnsi"/>
          <w:szCs w:val="24"/>
          <w:lang w:eastAsia="en-GB"/>
        </w:rPr>
        <w:t>,</w:t>
      </w:r>
      <w:r w:rsidRPr="00FC349D">
        <w:rPr>
          <w:rFonts w:asciiTheme="minorHAnsi" w:hAnsiTheme="minorHAnsi"/>
          <w:smallCaps/>
        </w:rPr>
        <w:t xml:space="preserve"> </w:t>
      </w:r>
      <w:r w:rsidRPr="00FC349D">
        <w:rPr>
          <w:rFonts w:asciiTheme="minorHAnsi" w:hAnsiTheme="minorHAnsi"/>
          <w:szCs w:val="24"/>
          <w:lang w:eastAsia="en-GB"/>
        </w:rPr>
        <w:t xml:space="preserve">ovvero </w:t>
      </w:r>
      <w:r w:rsidRPr="00FC349D">
        <w:rPr>
          <w:rFonts w:asciiTheme="minorHAnsi" w:hAnsiTheme="minorHAnsi"/>
          <w:i/>
          <w:iCs/>
          <w:lang w:eastAsia="en-GB"/>
        </w:rPr>
        <w:t>“[…] le componenti di ricavo diverse da quelle relative al servizio integrato di gestione dei RU effettuato nell’ambito di affidamento e riconducibili ad altri servizi effettuati avvalendosi di asset e risorse del servizio del ciclo integrato […]”</w:t>
      </w:r>
      <w:r w:rsidRPr="00FC349D">
        <w:rPr>
          <w:rFonts w:asciiTheme="minorHAnsi" w:hAnsiTheme="minorHAnsi"/>
          <w:szCs w:val="24"/>
          <w:lang w:eastAsia="en-GB"/>
        </w:rPr>
        <w:t>;</w:t>
      </w:r>
    </w:p>
    <w:p w14:paraId="61875A97" w14:textId="5FBEA55F" w:rsidR="00E446E7" w:rsidRPr="00030CD1" w:rsidRDefault="00E446E7" w:rsidP="00E446E7">
      <w:pPr>
        <w:pStyle w:val="Paragrafoelenco"/>
        <w:numPr>
          <w:ilvl w:val="0"/>
          <w:numId w:val="6"/>
        </w:numPr>
        <w:jc w:val="both"/>
        <w:rPr>
          <w:rFonts w:asciiTheme="minorHAnsi" w:hAnsiTheme="minorHAnsi"/>
          <w:szCs w:val="24"/>
          <w:lang w:eastAsia="en-GB"/>
        </w:rPr>
      </w:pPr>
      <w:r>
        <w:rPr>
          <w:rFonts w:asciiTheme="minorHAnsi" w:hAnsiTheme="minorHAnsi"/>
          <w:lang w:eastAsia="en-GB"/>
        </w:rPr>
        <w:t xml:space="preserve">I dati relativi ai costi di capitale comunicati dal </w:t>
      </w:r>
      <w:r w:rsidR="00470284">
        <w:rPr>
          <w:rFonts w:asciiTheme="minorHAnsi" w:hAnsiTheme="minorHAnsi"/>
          <w:lang w:eastAsia="en-GB"/>
        </w:rPr>
        <w:t>G</w:t>
      </w:r>
      <w:r>
        <w:rPr>
          <w:rFonts w:asciiTheme="minorHAnsi" w:hAnsiTheme="minorHAnsi"/>
          <w:lang w:eastAsia="en-GB"/>
        </w:rPr>
        <w:t xml:space="preserve">estore avvalendosi dei prospetti di riconciliazione con il libro cespiti </w:t>
      </w:r>
      <w:r w:rsidR="00EB24EC">
        <w:rPr>
          <w:rFonts w:asciiTheme="minorHAnsi" w:hAnsiTheme="minorHAnsi"/>
          <w:lang w:eastAsia="en-GB"/>
        </w:rPr>
        <w:t xml:space="preserve">e con il piano degli investimenti </w:t>
      </w:r>
      <w:r>
        <w:rPr>
          <w:rFonts w:asciiTheme="minorHAnsi" w:hAnsiTheme="minorHAnsi"/>
          <w:lang w:eastAsia="en-GB"/>
        </w:rPr>
        <w:t>ponendo particolare attenzione agli eventuali contributi a fondo perduto percepiti dallo stesso;</w:t>
      </w:r>
    </w:p>
    <w:p w14:paraId="08E20285" w14:textId="1E4B3066" w:rsidR="00E446E7" w:rsidRPr="00EB24EC" w:rsidRDefault="00E446E7" w:rsidP="00EB24EC">
      <w:pPr>
        <w:pStyle w:val="Paragrafoelenco"/>
        <w:numPr>
          <w:ilvl w:val="0"/>
          <w:numId w:val="6"/>
        </w:numPr>
        <w:jc w:val="both"/>
        <w:rPr>
          <w:rFonts w:asciiTheme="minorHAnsi" w:hAnsiTheme="minorHAnsi"/>
          <w:szCs w:val="24"/>
          <w:lang w:eastAsia="en-GB"/>
        </w:rPr>
      </w:pPr>
      <w:r>
        <w:rPr>
          <w:rFonts w:asciiTheme="minorHAnsi" w:hAnsiTheme="minorHAnsi"/>
          <w:lang w:eastAsia="en-GB"/>
        </w:rPr>
        <w:t>Il valore delle immobilizzazioni in corso e la corretta esclusione di quelle non movimentate negli ultimi quattro anni;</w:t>
      </w:r>
    </w:p>
    <w:p w14:paraId="6765A7BA" w14:textId="0137338D" w:rsidR="00700758" w:rsidRPr="00FC349D" w:rsidRDefault="00700758" w:rsidP="00700758">
      <w:pPr>
        <w:pStyle w:val="Paragrafoelenco"/>
        <w:numPr>
          <w:ilvl w:val="0"/>
          <w:numId w:val="6"/>
        </w:numPr>
        <w:jc w:val="both"/>
        <w:rPr>
          <w:rFonts w:asciiTheme="minorHAnsi" w:hAnsiTheme="minorHAnsi"/>
          <w:szCs w:val="24"/>
          <w:lang w:eastAsia="en-GB"/>
        </w:rPr>
      </w:pPr>
      <w:r w:rsidRPr="00FC349D">
        <w:rPr>
          <w:lang w:eastAsia="en-GB"/>
        </w:rPr>
        <w:t xml:space="preserve">I costi d’uso del capitale riferiti a beni di proprietà di soggetti terzi utilizzati dal </w:t>
      </w:r>
      <w:r w:rsidR="00470284">
        <w:rPr>
          <w:lang w:eastAsia="en-GB"/>
        </w:rPr>
        <w:t>G</w:t>
      </w:r>
      <w:r w:rsidRPr="00FC349D">
        <w:rPr>
          <w:lang w:eastAsia="en-GB"/>
        </w:rPr>
        <w:t>estore a fronte del pagamento di un corrispettivo, verificando che gli stessi siano stati considerati nel limite del corrispettivo stesso</w:t>
      </w:r>
      <w:r w:rsidR="00E446E7">
        <w:rPr>
          <w:lang w:eastAsia="en-GB"/>
        </w:rPr>
        <w:t>;</w:t>
      </w:r>
    </w:p>
    <w:p w14:paraId="7E45B4F8" w14:textId="299966F4" w:rsidR="00EB24EC" w:rsidRDefault="00EB24EC" w:rsidP="00EB24EC">
      <w:pPr>
        <w:pStyle w:val="Paragrafoelenco"/>
        <w:numPr>
          <w:ilvl w:val="0"/>
          <w:numId w:val="6"/>
        </w:numPr>
        <w:jc w:val="both"/>
        <w:rPr>
          <w:rFonts w:asciiTheme="minorHAnsi" w:hAnsiTheme="minorHAnsi"/>
          <w:szCs w:val="24"/>
          <w:lang w:eastAsia="en-GB"/>
        </w:rPr>
      </w:pPr>
      <w:r>
        <w:rPr>
          <w:rFonts w:asciiTheme="minorHAnsi" w:hAnsiTheme="minorHAnsi"/>
          <w:szCs w:val="24"/>
          <w:lang w:eastAsia="en-GB"/>
        </w:rPr>
        <w:t xml:space="preserve">I </w:t>
      </w:r>
      <w:r w:rsidRPr="00470284">
        <w:rPr>
          <w:rFonts w:asciiTheme="minorHAnsi" w:hAnsiTheme="minorHAnsi"/>
          <w:i/>
          <w:iCs/>
          <w:szCs w:val="24"/>
          <w:lang w:eastAsia="en-GB"/>
        </w:rPr>
        <w:t>driver</w:t>
      </w:r>
      <w:r>
        <w:rPr>
          <w:rFonts w:asciiTheme="minorHAnsi" w:hAnsiTheme="minorHAnsi"/>
          <w:szCs w:val="24"/>
          <w:lang w:eastAsia="en-GB"/>
        </w:rPr>
        <w:t xml:space="preserve"> di allocazione di cespiti comuni a più attività del ciclo integrato dei rifiuti urbani utilizzati dal </w:t>
      </w:r>
      <w:r w:rsidR="00791F68">
        <w:rPr>
          <w:rFonts w:asciiTheme="minorHAnsi" w:hAnsiTheme="minorHAnsi"/>
          <w:szCs w:val="24"/>
          <w:lang w:eastAsia="en-GB"/>
        </w:rPr>
        <w:t>G</w:t>
      </w:r>
      <w:r>
        <w:rPr>
          <w:rFonts w:asciiTheme="minorHAnsi" w:hAnsiTheme="minorHAnsi"/>
          <w:szCs w:val="24"/>
          <w:lang w:eastAsia="en-GB"/>
        </w:rPr>
        <w:t>estore;</w:t>
      </w:r>
    </w:p>
    <w:p w14:paraId="533C9BB5" w14:textId="55C475E6" w:rsidR="00EB24EC" w:rsidRDefault="00EB24EC" w:rsidP="00EB24EC">
      <w:pPr>
        <w:pStyle w:val="Paragrafoelenco"/>
        <w:numPr>
          <w:ilvl w:val="0"/>
          <w:numId w:val="6"/>
        </w:numPr>
        <w:jc w:val="both"/>
        <w:rPr>
          <w:rFonts w:asciiTheme="minorHAnsi" w:hAnsiTheme="minorHAnsi"/>
          <w:szCs w:val="24"/>
          <w:lang w:eastAsia="en-GB"/>
        </w:rPr>
      </w:pPr>
      <w:r>
        <w:rPr>
          <w:rFonts w:asciiTheme="minorHAnsi" w:hAnsiTheme="minorHAnsi"/>
          <w:szCs w:val="24"/>
          <w:lang w:eastAsia="en-GB"/>
        </w:rPr>
        <w:t xml:space="preserve">I </w:t>
      </w:r>
      <w:r w:rsidRPr="00470284">
        <w:rPr>
          <w:rFonts w:asciiTheme="minorHAnsi" w:hAnsiTheme="minorHAnsi"/>
          <w:i/>
          <w:iCs/>
          <w:szCs w:val="24"/>
          <w:lang w:eastAsia="en-GB"/>
        </w:rPr>
        <w:t>driver</w:t>
      </w:r>
      <w:r>
        <w:rPr>
          <w:rFonts w:asciiTheme="minorHAnsi" w:hAnsiTheme="minorHAnsi"/>
          <w:szCs w:val="24"/>
          <w:lang w:eastAsia="en-GB"/>
        </w:rPr>
        <w:t xml:space="preserve"> di allocazione territoriale dei cespiti relativi ad attività del ciclo integrato dei rifiuti urbani utilizzati dal </w:t>
      </w:r>
      <w:r w:rsidR="00791F68">
        <w:rPr>
          <w:rFonts w:asciiTheme="minorHAnsi" w:hAnsiTheme="minorHAnsi"/>
          <w:szCs w:val="24"/>
          <w:lang w:eastAsia="en-GB"/>
        </w:rPr>
        <w:t>G</w:t>
      </w:r>
      <w:r>
        <w:rPr>
          <w:rFonts w:asciiTheme="minorHAnsi" w:hAnsiTheme="minorHAnsi"/>
          <w:szCs w:val="24"/>
          <w:lang w:eastAsia="en-GB"/>
        </w:rPr>
        <w:t>estore;</w:t>
      </w:r>
    </w:p>
    <w:p w14:paraId="572E5448" w14:textId="0D0B00E7" w:rsidR="00EB24EC" w:rsidRPr="00030CD1" w:rsidRDefault="00EB24EC" w:rsidP="00EB24EC">
      <w:pPr>
        <w:pStyle w:val="Paragrafoelenco"/>
        <w:numPr>
          <w:ilvl w:val="0"/>
          <w:numId w:val="6"/>
        </w:numPr>
        <w:jc w:val="both"/>
        <w:rPr>
          <w:rFonts w:asciiTheme="minorHAnsi" w:hAnsiTheme="minorHAnsi"/>
          <w:szCs w:val="24"/>
          <w:lang w:eastAsia="en-GB"/>
        </w:rPr>
      </w:pPr>
      <w:r>
        <w:rPr>
          <w:rFonts w:asciiTheme="minorHAnsi" w:hAnsiTheme="minorHAnsi"/>
          <w:szCs w:val="24"/>
          <w:lang w:eastAsia="en-GB"/>
        </w:rPr>
        <w:t xml:space="preserve">Il corretto trattamento dei beni in </w:t>
      </w:r>
      <w:r w:rsidRPr="00470284">
        <w:rPr>
          <w:rFonts w:asciiTheme="minorHAnsi" w:hAnsiTheme="minorHAnsi"/>
          <w:i/>
          <w:iCs/>
          <w:szCs w:val="24"/>
          <w:lang w:eastAsia="en-GB"/>
        </w:rPr>
        <w:t>leasing</w:t>
      </w:r>
      <w:r w:rsidR="007E6B2F">
        <w:rPr>
          <w:rFonts w:asciiTheme="minorHAnsi" w:hAnsiTheme="minorHAnsi"/>
          <w:i/>
          <w:iCs/>
          <w:szCs w:val="24"/>
          <w:lang w:eastAsia="en-GB"/>
        </w:rPr>
        <w:t xml:space="preserve"> </w:t>
      </w:r>
      <w:r w:rsidR="007E6B2F" w:rsidRPr="007E6B2F">
        <w:rPr>
          <w:rFonts w:asciiTheme="minorHAnsi" w:hAnsiTheme="minorHAnsi"/>
          <w:szCs w:val="24"/>
          <w:lang w:eastAsia="en-GB"/>
        </w:rPr>
        <w:t>secondo quanto previsto dal MTR-2</w:t>
      </w:r>
      <w:r w:rsidR="00E70BBD">
        <w:rPr>
          <w:rFonts w:asciiTheme="minorHAnsi" w:hAnsiTheme="minorHAnsi"/>
          <w:szCs w:val="24"/>
          <w:lang w:eastAsia="en-GB"/>
        </w:rPr>
        <w:t xml:space="preserve"> aggiornato</w:t>
      </w:r>
      <w:r>
        <w:rPr>
          <w:rFonts w:asciiTheme="minorHAnsi" w:hAnsiTheme="minorHAnsi"/>
          <w:szCs w:val="24"/>
          <w:lang w:eastAsia="en-GB"/>
        </w:rPr>
        <w:t>;</w:t>
      </w:r>
    </w:p>
    <w:p w14:paraId="161A8CE5" w14:textId="77777777" w:rsidR="00700758" w:rsidRDefault="00700758" w:rsidP="00DA3A0C">
      <w:pPr>
        <w:pStyle w:val="Titolo2"/>
      </w:pPr>
      <w:bookmarkStart w:id="11" w:name="_Toc93658144"/>
      <w:bookmarkStart w:id="12" w:name="_Toc163127411"/>
      <w:r>
        <w:t>Rettifiche di validazione</w:t>
      </w:r>
      <w:bookmarkEnd w:id="11"/>
      <w:bookmarkEnd w:id="12"/>
    </w:p>
    <w:p w14:paraId="508B01E7" w14:textId="658AA1D2" w:rsidR="00C315E1" w:rsidRPr="00EB24EC" w:rsidRDefault="00700758" w:rsidP="00700758">
      <w:pPr>
        <w:rPr>
          <w:rFonts w:asciiTheme="minorHAnsi" w:hAnsiTheme="minorHAnsi"/>
          <w:i/>
          <w:iCs/>
          <w:lang w:eastAsia="en-GB"/>
        </w:rPr>
      </w:pPr>
      <w:r>
        <w:rPr>
          <w:rFonts w:asciiTheme="minorHAnsi" w:hAnsiTheme="minorHAnsi"/>
          <w:lang w:eastAsia="en-GB"/>
        </w:rPr>
        <w:t xml:space="preserve">Alla luce delle verifiche effettuate, </w:t>
      </w:r>
      <w:r w:rsidR="00EB24EC">
        <w:rPr>
          <w:rFonts w:asciiTheme="minorHAnsi" w:hAnsiTheme="minorHAnsi"/>
          <w:lang w:eastAsia="en-GB"/>
        </w:rPr>
        <w:t>l’Ente scrivente</w:t>
      </w:r>
      <w:r>
        <w:rPr>
          <w:rFonts w:asciiTheme="minorHAnsi" w:hAnsiTheme="minorHAnsi"/>
          <w:lang w:eastAsia="en-GB"/>
        </w:rPr>
        <w:t xml:space="preserve"> </w:t>
      </w:r>
      <w:r w:rsidR="000C2D48">
        <w:rPr>
          <w:rFonts w:asciiTheme="minorHAnsi" w:hAnsiTheme="minorHAnsi"/>
          <w:lang w:eastAsia="en-GB"/>
        </w:rPr>
        <w:t xml:space="preserve">non </w:t>
      </w:r>
      <w:r>
        <w:rPr>
          <w:rFonts w:asciiTheme="minorHAnsi" w:hAnsiTheme="minorHAnsi"/>
          <w:lang w:eastAsia="en-GB"/>
        </w:rPr>
        <w:t xml:space="preserve">ha richiesto al </w:t>
      </w:r>
      <w:r w:rsidR="00470284">
        <w:rPr>
          <w:rFonts w:asciiTheme="minorHAnsi" w:hAnsiTheme="minorHAnsi"/>
          <w:lang w:eastAsia="en-GB"/>
        </w:rPr>
        <w:t>G</w:t>
      </w:r>
      <w:r>
        <w:rPr>
          <w:rFonts w:asciiTheme="minorHAnsi" w:hAnsiTheme="minorHAnsi"/>
          <w:lang w:eastAsia="en-GB"/>
        </w:rPr>
        <w:t>estore di effettuare modifiche</w:t>
      </w:r>
      <w:r w:rsidR="000C2D48">
        <w:rPr>
          <w:rFonts w:asciiTheme="minorHAnsi" w:hAnsiTheme="minorHAnsi"/>
          <w:lang w:eastAsia="en-GB"/>
        </w:rPr>
        <w:t>.</w:t>
      </w:r>
    </w:p>
    <w:p w14:paraId="4CBD1832" w14:textId="5E0BE67B" w:rsidR="00700758" w:rsidRPr="002460A6" w:rsidRDefault="00700758" w:rsidP="00700758">
      <w:pPr>
        <w:pStyle w:val="Titolo1"/>
      </w:pPr>
      <w:bookmarkStart w:id="13" w:name="_Toc93658145"/>
      <w:bookmarkStart w:id="14" w:name="_Toc163127412"/>
      <w:r w:rsidRPr="002460A6">
        <w:t xml:space="preserve">Valutazioni </w:t>
      </w:r>
      <w:r w:rsidR="00E70BBD">
        <w:t xml:space="preserve">di competenza </w:t>
      </w:r>
      <w:r w:rsidRPr="002460A6">
        <w:t>dell’</w:t>
      </w:r>
      <w:r w:rsidR="00E70BBD">
        <w:t>E</w:t>
      </w:r>
      <w:r w:rsidRPr="002460A6">
        <w:t>nte territorialmente competente</w:t>
      </w:r>
      <w:bookmarkEnd w:id="13"/>
      <w:r w:rsidR="00E70BBD">
        <w:t xml:space="preserve"> (ETC)</w:t>
      </w:r>
      <w:bookmarkEnd w:id="14"/>
    </w:p>
    <w:p w14:paraId="0D5601EC" w14:textId="77777777" w:rsidR="00700758" w:rsidRDefault="00700758" w:rsidP="00DA3A0C">
      <w:pPr>
        <w:pStyle w:val="Titolo2"/>
      </w:pPr>
      <w:bookmarkStart w:id="15" w:name="_Toc43722728"/>
      <w:bookmarkStart w:id="16" w:name="_Toc93658146"/>
      <w:bookmarkStart w:id="17" w:name="_Toc163127413"/>
      <w:r>
        <w:t>Limite alla crescita annuale delle entrate tariffarie</w:t>
      </w:r>
      <w:bookmarkEnd w:id="15"/>
      <w:bookmarkEnd w:id="16"/>
      <w:bookmarkEnd w:id="17"/>
    </w:p>
    <w:p w14:paraId="37946059" w14:textId="2747FFBD" w:rsidR="00700758" w:rsidRDefault="00700758" w:rsidP="00700758">
      <w:pPr>
        <w:rPr>
          <w:lang w:eastAsia="en-GB"/>
        </w:rPr>
      </w:pPr>
      <w:r>
        <w:rPr>
          <w:lang w:eastAsia="en-GB"/>
        </w:rPr>
        <w:t>Come previsto dall’art. 4.1 del MTR-2</w:t>
      </w:r>
      <w:r w:rsidR="00E70BBD">
        <w:rPr>
          <w:lang w:eastAsia="en-GB"/>
        </w:rPr>
        <w:t xml:space="preserve"> aggiornato</w:t>
      </w:r>
      <w:r>
        <w:rPr>
          <w:lang w:eastAsia="en-GB"/>
        </w:rPr>
        <w:t xml:space="preserve"> il rapporto tra le tariffe di riferimento e quelle dell’anno precedente deve rispettare il limite alla variazione annuale indentificato in </w:t>
      </w:r>
      <w:r w:rsidRPr="00000BF5">
        <w:rPr>
          <w:b/>
          <w:bCs/>
          <w:lang w:eastAsia="en-GB"/>
        </w:rPr>
        <w:t xml:space="preserve">(1 + </w:t>
      </w:r>
      <m:oMath>
        <m:sSub>
          <m:sSubPr>
            <m:ctrlPr>
              <w:rPr>
                <w:rFonts w:ascii="Cambria Math" w:eastAsia="CambriaMath" w:hAnsi="Cambria Math" w:cs="CambriaMath"/>
                <w:b/>
                <w:bCs/>
                <w:i/>
                <w:szCs w:val="20"/>
              </w:rPr>
            </m:ctrlPr>
          </m:sSubPr>
          <m:e>
            <m:r>
              <m:rPr>
                <m:sty m:val="bi"/>
              </m:rPr>
              <w:rPr>
                <w:rFonts w:ascii="Cambria Math" w:eastAsia="CambriaMath" w:hAnsi="Cambria Math" w:cs="CambriaMath" w:hint="eastAsia"/>
                <w:szCs w:val="20"/>
              </w:rPr>
              <m:t>ρ</m:t>
            </m:r>
          </m:e>
          <m:sub>
            <m:r>
              <m:rPr>
                <m:sty m:val="bi"/>
              </m:rPr>
              <w:rPr>
                <w:rFonts w:ascii="Cambria Math" w:eastAsia="CambriaMath" w:hAnsi="Cambria Math" w:cs="CambriaMath"/>
                <w:szCs w:val="20"/>
              </w:rPr>
              <m:t>a</m:t>
            </m:r>
          </m:sub>
        </m:sSub>
      </m:oMath>
      <w:r w:rsidRPr="00000BF5">
        <w:rPr>
          <w:b/>
          <w:bCs/>
          <w:lang w:eastAsia="en-GB"/>
        </w:rPr>
        <w:t>)</w:t>
      </w:r>
      <w:r>
        <w:rPr>
          <w:lang w:eastAsia="en-GB"/>
        </w:rPr>
        <w:t>.</w:t>
      </w:r>
    </w:p>
    <w:p w14:paraId="52411737" w14:textId="098D0FE1" w:rsidR="00700758" w:rsidRDefault="00700758" w:rsidP="00700758">
      <w:pPr>
        <w:rPr>
          <w:lang w:eastAsia="en-GB"/>
        </w:rPr>
      </w:pPr>
      <w:r>
        <w:rPr>
          <w:lang w:eastAsia="en-GB"/>
        </w:rPr>
        <w:t xml:space="preserve">Il parametro </w:t>
      </w:r>
      <m:oMath>
        <m:sSub>
          <m:sSubPr>
            <m:ctrlPr>
              <w:rPr>
                <w:rFonts w:ascii="Cambria Math" w:eastAsia="CambriaMath" w:hAnsi="Cambria Math" w:cs="CambriaMath"/>
                <w:i/>
                <w:szCs w:val="20"/>
              </w:rPr>
            </m:ctrlPr>
          </m:sSubPr>
          <m:e>
            <m:r>
              <w:rPr>
                <w:rFonts w:ascii="Cambria Math" w:eastAsia="CambriaMath" w:hAnsi="Cambria Math" w:cs="CambriaMath" w:hint="eastAsia"/>
                <w:szCs w:val="20"/>
              </w:rPr>
              <m:t>ρ</m:t>
            </m:r>
          </m:e>
          <m:sub>
            <m:r>
              <w:rPr>
                <w:rFonts w:ascii="Cambria Math" w:eastAsia="CambriaMath" w:hAnsi="Cambria Math" w:cs="CambriaMath"/>
                <w:szCs w:val="20"/>
              </w:rPr>
              <m:t>a</m:t>
            </m:r>
          </m:sub>
        </m:sSub>
      </m:oMath>
      <w:r>
        <w:rPr>
          <w:b/>
          <w:bCs/>
          <w:i/>
          <w:iCs/>
          <w:vertAlign w:val="subscript"/>
          <w:lang w:eastAsia="en-GB"/>
        </w:rPr>
        <w:t xml:space="preserve"> </w:t>
      </w:r>
      <w:r>
        <w:rPr>
          <w:lang w:eastAsia="en-GB"/>
        </w:rPr>
        <w:t>è determinato sulla base della seguente formula:</w:t>
      </w:r>
    </w:p>
    <w:p w14:paraId="26246D80" w14:textId="55C791C1" w:rsidR="00700758" w:rsidRPr="00EB24EC" w:rsidRDefault="00EB24EC" w:rsidP="00700758">
      <w:pPr>
        <w:rPr>
          <w:i/>
          <w:iCs/>
          <w:sz w:val="17"/>
          <w:szCs w:val="17"/>
        </w:rPr>
      </w:pPr>
      <m:oMathPara>
        <m:oMath>
          <m:r>
            <w:rPr>
              <w:rFonts w:ascii="Cambria Math" w:eastAsia="CambriaMath" w:hAnsi="Cambria Math" w:cs="CambriaMath" w:hint="eastAsia"/>
              <w:sz w:val="24"/>
            </w:rPr>
            <m:t>ρ</m:t>
          </m:r>
          <m:r>
            <w:rPr>
              <w:rFonts w:ascii="Cambria Math" w:eastAsia="CambriaMath" w:hAnsi="Cambria Math" w:cs="CambriaMath" w:hint="eastAsia"/>
              <w:sz w:val="17"/>
              <w:szCs w:val="17"/>
            </w:rPr>
            <m:t>a</m:t>
          </m:r>
          <m:r>
            <w:rPr>
              <w:rFonts w:ascii="Cambria Math" w:eastAsia="CambriaMath" w:hAnsi="Cambria Math" w:cs="CambriaMath"/>
              <w:sz w:val="17"/>
              <w:szCs w:val="17"/>
            </w:rPr>
            <m:t xml:space="preserve"> </m:t>
          </m:r>
          <m:r>
            <w:rPr>
              <w:rFonts w:ascii="Cambria Math" w:eastAsia="CambriaMath" w:hAnsi="Cambria Math" w:cs="CambriaMath"/>
              <w:sz w:val="24"/>
            </w:rPr>
            <m:t xml:space="preserve">= </m:t>
          </m:r>
          <w:bookmarkStart w:id="18" w:name="_Hlk38030954"/>
          <m:r>
            <w:rPr>
              <w:rFonts w:ascii="Cambria Math" w:eastAsia="CambriaMath" w:hAnsi="Cambria Math" w:cs="CambriaMath" w:hint="eastAsia"/>
              <w:sz w:val="24"/>
            </w:rPr>
            <m:t>rpi</m:t>
          </m:r>
          <m:r>
            <w:rPr>
              <w:rFonts w:ascii="Cambria Math" w:eastAsia="CambriaMath" w:hAnsi="Cambria Math" w:cs="CambriaMath" w:hint="eastAsia"/>
              <w:sz w:val="17"/>
              <w:szCs w:val="17"/>
            </w:rPr>
            <m:t>a</m:t>
          </m:r>
          <w:bookmarkEnd w:id="18"/>
          <m:r>
            <w:rPr>
              <w:rFonts w:ascii="Cambria Math" w:eastAsia="CambriaMath" w:hAnsi="Cambria Math" w:cs="CambriaMath"/>
              <w:sz w:val="17"/>
              <w:szCs w:val="17"/>
            </w:rPr>
            <m:t xml:space="preserve"> </m:t>
          </m:r>
          <m:r>
            <w:rPr>
              <w:rFonts w:ascii="Cambria Math" w:eastAsia="CambriaMath" w:hAnsi="Cambria Math" w:cs="Arial"/>
              <w:sz w:val="24"/>
            </w:rPr>
            <m:t>-</m:t>
          </m:r>
          <m:r>
            <w:rPr>
              <w:rFonts w:ascii="Cambria Math" w:eastAsia="CambriaMath" w:hAnsi="Cambria Math" w:cs="CambriaMath"/>
              <w:sz w:val="24"/>
            </w:rPr>
            <m:t xml:space="preserve"> </m:t>
          </m:r>
          <m:r>
            <w:rPr>
              <w:rFonts w:ascii="Cambria Math" w:eastAsia="CambriaMath" w:hAnsi="Cambria Math" w:cs="CambriaMath" w:hint="eastAsia"/>
              <w:sz w:val="24"/>
            </w:rPr>
            <m:t>X</m:t>
          </m:r>
          <m:r>
            <w:rPr>
              <w:rFonts w:ascii="Cambria Math" w:eastAsia="CambriaMath" w:hAnsi="Cambria Math" w:cs="CambriaMath" w:hint="eastAsia"/>
              <w:sz w:val="17"/>
              <w:szCs w:val="17"/>
            </w:rPr>
            <m:t>a</m:t>
          </m:r>
          <m:r>
            <w:rPr>
              <w:rFonts w:ascii="Cambria Math" w:eastAsia="CambriaMath" w:hAnsi="Cambria Math" w:cs="CambriaMath"/>
              <w:sz w:val="17"/>
              <w:szCs w:val="17"/>
            </w:rPr>
            <m:t xml:space="preserve"> </m:t>
          </m:r>
          <m:r>
            <w:rPr>
              <w:rFonts w:ascii="Cambria Math" w:eastAsia="CambriaMath" w:hAnsi="Cambria Math" w:cs="CambriaMath"/>
              <w:sz w:val="24"/>
            </w:rPr>
            <m:t xml:space="preserve">+ </m:t>
          </m:r>
          <m:r>
            <w:rPr>
              <w:rFonts w:ascii="Cambria Math" w:eastAsia="CambriaMath" w:hAnsi="Cambria Math" w:cs="CambriaMath" w:hint="eastAsia"/>
              <w:sz w:val="24"/>
            </w:rPr>
            <m:t>QL</m:t>
          </m:r>
          <m:r>
            <w:rPr>
              <w:rFonts w:ascii="Cambria Math" w:eastAsia="CambriaMath" w:hAnsi="Cambria Math" w:cs="CambriaMath" w:hint="eastAsia"/>
              <w:sz w:val="17"/>
              <w:szCs w:val="17"/>
            </w:rPr>
            <m:t>a</m:t>
          </m:r>
          <m:r>
            <w:rPr>
              <w:rFonts w:ascii="Cambria Math" w:eastAsia="CambriaMath" w:hAnsi="Cambria Math" w:cs="CambriaMath"/>
              <w:sz w:val="17"/>
              <w:szCs w:val="17"/>
            </w:rPr>
            <m:t xml:space="preserve"> </m:t>
          </m:r>
          <m:r>
            <w:rPr>
              <w:rFonts w:ascii="Cambria Math" w:eastAsia="CambriaMath" w:hAnsi="Cambria Math" w:cs="CambriaMath"/>
              <w:sz w:val="24"/>
            </w:rPr>
            <m:t xml:space="preserve">+ </m:t>
          </m:r>
          <m:r>
            <w:rPr>
              <w:rFonts w:ascii="Cambria Math" w:eastAsia="CambriaMath" w:hAnsi="Cambria Math" w:cs="CambriaMath" w:hint="eastAsia"/>
              <w:sz w:val="24"/>
            </w:rPr>
            <m:t>PG</m:t>
          </m:r>
          <m:r>
            <w:rPr>
              <w:rFonts w:ascii="Cambria Math" w:eastAsia="CambriaMath" w:hAnsi="Cambria Math" w:cs="CambriaMath" w:hint="eastAsia"/>
              <w:sz w:val="17"/>
              <w:szCs w:val="17"/>
            </w:rPr>
            <m:t>a</m:t>
          </m:r>
        </m:oMath>
      </m:oMathPara>
    </w:p>
    <w:p w14:paraId="5E899D24" w14:textId="77777777" w:rsidR="00700758" w:rsidRDefault="00700758" w:rsidP="00700758">
      <w:pPr>
        <w:rPr>
          <w:lang w:eastAsia="en-GB"/>
        </w:rPr>
      </w:pPr>
      <w:r>
        <w:rPr>
          <w:lang w:eastAsia="en-GB"/>
        </w:rPr>
        <w:t>dove:</w:t>
      </w:r>
    </w:p>
    <w:p w14:paraId="605E5F85" w14:textId="007BADCD" w:rsidR="00700758" w:rsidRDefault="000E440F" w:rsidP="00732927">
      <w:pPr>
        <w:pStyle w:val="Paragrafoelenco"/>
        <w:numPr>
          <w:ilvl w:val="0"/>
          <w:numId w:val="15"/>
        </w:numPr>
        <w:jc w:val="both"/>
        <w:rPr>
          <w:lang w:eastAsia="en-GB"/>
        </w:rPr>
      </w:pPr>
      <m:oMath>
        <m:sSub>
          <m:sSubPr>
            <m:ctrlPr>
              <w:rPr>
                <w:rFonts w:ascii="Cambria Math" w:hAnsi="Cambria Math"/>
                <w:i/>
                <w:iCs/>
                <w:vertAlign w:val="subscript"/>
                <w:lang w:eastAsia="en-GB"/>
              </w:rPr>
            </m:ctrlPr>
          </m:sSubPr>
          <m:e>
            <m:r>
              <w:rPr>
                <w:rFonts w:ascii="Cambria Math" w:hAnsi="Cambria Math"/>
                <w:vertAlign w:val="subscript"/>
                <w:lang w:eastAsia="en-GB"/>
              </w:rPr>
              <m:t>rpi</m:t>
            </m:r>
          </m:e>
          <m:sub>
            <m:r>
              <w:rPr>
                <w:rFonts w:ascii="Cambria Math" w:hAnsi="Cambria Math"/>
                <w:vertAlign w:val="subscript"/>
                <w:lang w:eastAsia="en-GB"/>
              </w:rPr>
              <m:t>a</m:t>
            </m:r>
          </m:sub>
        </m:sSub>
      </m:oMath>
      <w:r w:rsidR="00700758" w:rsidRPr="00D94EE4">
        <w:rPr>
          <w:i/>
          <w:iCs/>
          <w:vertAlign w:val="subscript"/>
          <w:lang w:eastAsia="en-GB"/>
        </w:rPr>
        <w:t xml:space="preserve"> </w:t>
      </w:r>
      <w:r w:rsidR="00700758">
        <w:rPr>
          <w:lang w:eastAsia="en-GB"/>
        </w:rPr>
        <w:t xml:space="preserve">è il tasso di inflazione programmata, pari al </w:t>
      </w:r>
      <w:r w:rsidR="007E6787">
        <w:rPr>
          <w:lang w:eastAsia="en-GB"/>
        </w:rPr>
        <w:t>2</w:t>
      </w:r>
      <w:r w:rsidR="00700758">
        <w:rPr>
          <w:lang w:eastAsia="en-GB"/>
        </w:rPr>
        <w:t>,7%;</w:t>
      </w:r>
    </w:p>
    <w:p w14:paraId="1F834B4F" w14:textId="3F10A337" w:rsidR="00700758" w:rsidRDefault="000E440F" w:rsidP="00732927">
      <w:pPr>
        <w:pStyle w:val="Paragrafoelenco"/>
        <w:numPr>
          <w:ilvl w:val="0"/>
          <w:numId w:val="15"/>
        </w:numPr>
        <w:jc w:val="both"/>
        <w:rPr>
          <w:lang w:eastAsia="en-GB"/>
        </w:rPr>
      </w:pPr>
      <m:oMath>
        <m:sSub>
          <m:sSubPr>
            <m:ctrlPr>
              <w:rPr>
                <w:rFonts w:ascii="Cambria Math" w:eastAsia="CambriaMath" w:hAnsi="Cambria Math" w:cs="CambriaMath"/>
                <w:i/>
              </w:rPr>
            </m:ctrlPr>
          </m:sSubPr>
          <m:e>
            <m:r>
              <w:rPr>
                <w:rFonts w:ascii="Cambria Math" w:eastAsia="CambriaMath" w:hAnsi="Cambria Math" w:cs="CambriaMath"/>
              </w:rPr>
              <m:t>X</m:t>
            </m:r>
          </m:e>
          <m:sub>
            <m:r>
              <w:rPr>
                <w:rFonts w:ascii="Cambria Math" w:eastAsia="CambriaMath" w:hAnsi="Cambria Math" w:cs="CambriaMath"/>
              </w:rPr>
              <m:t>a</m:t>
            </m:r>
          </m:sub>
        </m:sSub>
      </m:oMath>
      <w:r w:rsidR="00700758">
        <w:rPr>
          <w:lang w:eastAsia="en-GB"/>
        </w:rPr>
        <w:t xml:space="preserve"> è il coefficiente di recupero di produttività, determinato dall’Ente territorialmente compente, nell’ambito dell’intervallo di valori compreso fra 0,1% e 0,5%;</w:t>
      </w:r>
    </w:p>
    <w:p w14:paraId="0AECCEF3" w14:textId="0DB66163" w:rsidR="00700758" w:rsidRDefault="000E440F" w:rsidP="00732927">
      <w:pPr>
        <w:pStyle w:val="Paragrafoelenco"/>
        <w:numPr>
          <w:ilvl w:val="0"/>
          <w:numId w:val="15"/>
        </w:numPr>
        <w:jc w:val="both"/>
        <w:rPr>
          <w:lang w:eastAsia="en-GB"/>
        </w:rPr>
      </w:pPr>
      <m:oMath>
        <m:sSub>
          <m:sSubPr>
            <m:ctrlPr>
              <w:rPr>
                <w:rFonts w:ascii="Cambria Math" w:eastAsia="CambriaMath" w:hAnsi="Cambria Math" w:cs="CambriaMath"/>
                <w:i/>
              </w:rPr>
            </m:ctrlPr>
          </m:sSubPr>
          <m:e>
            <m:r>
              <w:rPr>
                <w:rFonts w:ascii="Cambria Math" w:eastAsia="CambriaMath" w:hAnsi="Cambria Math" w:cs="CambriaMath"/>
              </w:rPr>
              <m:t>QL</m:t>
            </m:r>
          </m:e>
          <m:sub>
            <m:r>
              <w:rPr>
                <w:rFonts w:ascii="Cambria Math" w:eastAsia="CambriaMath" w:hAnsi="Cambria Math" w:cs="CambriaMath"/>
              </w:rPr>
              <m:t>a</m:t>
            </m:r>
          </m:sub>
        </m:sSub>
      </m:oMath>
      <w:r w:rsidR="00700758" w:rsidRPr="00D94EE4">
        <w:rPr>
          <w:vertAlign w:val="subscript"/>
          <w:lang w:eastAsia="en-GB"/>
        </w:rPr>
        <w:t xml:space="preserve"> </w:t>
      </w:r>
      <w:r w:rsidR="00700758">
        <w:rPr>
          <w:lang w:eastAsia="en-GB"/>
        </w:rPr>
        <w:t>è il coefficiente per il miglioramento previsto della qualità e delle caratteristiche delle prestazioni erogate agli utenti, che può assumere un valore massimo pari a 4%, nei limiti della tabella di cui al comma 4.3 del MTR-2</w:t>
      </w:r>
      <w:r w:rsidR="007E6787">
        <w:rPr>
          <w:lang w:eastAsia="en-GB"/>
        </w:rPr>
        <w:t xml:space="preserve"> aggiornato</w:t>
      </w:r>
      <w:r w:rsidR="00700758">
        <w:rPr>
          <w:lang w:eastAsia="en-GB"/>
        </w:rPr>
        <w:t>;</w:t>
      </w:r>
    </w:p>
    <w:p w14:paraId="39CBEB10" w14:textId="1B1C77F8" w:rsidR="00700758" w:rsidRDefault="000E440F" w:rsidP="00732927">
      <w:pPr>
        <w:pStyle w:val="Paragrafoelenco"/>
        <w:numPr>
          <w:ilvl w:val="0"/>
          <w:numId w:val="15"/>
        </w:numPr>
        <w:jc w:val="both"/>
        <w:rPr>
          <w:lang w:eastAsia="en-GB"/>
        </w:rPr>
      </w:pPr>
      <m:oMath>
        <m:sSub>
          <m:sSubPr>
            <m:ctrlPr>
              <w:rPr>
                <w:rFonts w:ascii="Cambria Math" w:hAnsi="Cambria Math"/>
                <w:i/>
                <w:lang w:eastAsia="en-GB"/>
              </w:rPr>
            </m:ctrlPr>
          </m:sSubPr>
          <m:e>
            <m:r>
              <w:rPr>
                <w:rFonts w:ascii="Cambria Math" w:hAnsi="Cambria Math"/>
                <w:lang w:eastAsia="en-GB"/>
              </w:rPr>
              <m:t>PG</m:t>
            </m:r>
          </m:e>
          <m:sub>
            <m:r>
              <w:rPr>
                <w:rFonts w:ascii="Cambria Math" w:hAnsi="Cambria Math"/>
                <w:lang w:eastAsia="en-GB"/>
              </w:rPr>
              <m:t>a</m:t>
            </m:r>
          </m:sub>
        </m:sSub>
      </m:oMath>
      <w:r w:rsidR="00700758">
        <w:rPr>
          <w:lang w:eastAsia="en-GB"/>
        </w:rPr>
        <w:t xml:space="preserve"> è il coefficiente per la valorizzazione di modifiche del perimetro gestionale con riferimento ad aspetti tecnici e/o operativi, che può assumere un valore massimo pari a 3%, nei limiti della tabella di cui al 4.3 del MTR-2</w:t>
      </w:r>
      <w:r w:rsidR="007E6787" w:rsidRPr="007E6787">
        <w:rPr>
          <w:lang w:eastAsia="en-GB"/>
        </w:rPr>
        <w:t xml:space="preserve"> </w:t>
      </w:r>
      <w:r w:rsidR="007E6787">
        <w:rPr>
          <w:lang w:eastAsia="en-GB"/>
        </w:rPr>
        <w:t>aggiornato</w:t>
      </w:r>
      <w:r w:rsidR="00700758">
        <w:rPr>
          <w:lang w:eastAsia="en-GB"/>
        </w:rPr>
        <w:t>.</w:t>
      </w:r>
    </w:p>
    <w:p w14:paraId="7B2834DA" w14:textId="3C51B7A9" w:rsidR="007E6787" w:rsidRPr="00D94EE4" w:rsidRDefault="007E6787" w:rsidP="007E6787">
      <w:pPr>
        <w:rPr>
          <w:lang w:eastAsia="en-GB"/>
        </w:rPr>
      </w:pPr>
      <w:r>
        <w:rPr>
          <w:lang w:eastAsia="en-GB"/>
        </w:rPr>
        <w:t>Inoltre, ai</w:t>
      </w:r>
      <w:r w:rsidRPr="007E6787">
        <w:rPr>
          <w:lang w:eastAsia="en-GB"/>
        </w:rPr>
        <w:t xml:space="preserve"> fini dell’aggiornamento biennale delle entrate tariffarie, in ciascun anno </w:t>
      </w:r>
      <w:r w:rsidRPr="007E6787">
        <w:rPr>
          <w:rFonts w:ascii="Cambria Math" w:hAnsi="Cambria Math" w:cs="Cambria Math"/>
          <w:lang w:eastAsia="en-GB"/>
        </w:rPr>
        <w:t>𝑎</w:t>
      </w:r>
      <w:r w:rsidRPr="007E6787">
        <w:rPr>
          <w:lang w:eastAsia="en-GB"/>
        </w:rPr>
        <w:t xml:space="preserve"> = {2024,2025}, per la determinazione del parametro</w:t>
      </w:r>
      <w:r>
        <w:rPr>
          <w:lang w:eastAsia="en-GB"/>
        </w:rPr>
        <w:t xml:space="preserve"> </w:t>
      </w:r>
      <m:oMath>
        <m:sSub>
          <m:sSubPr>
            <m:ctrlPr>
              <w:rPr>
                <w:rFonts w:ascii="Cambria Math" w:eastAsia="CambriaMath" w:hAnsi="Cambria Math" w:cs="CambriaMath"/>
                <w:i/>
                <w:szCs w:val="20"/>
              </w:rPr>
            </m:ctrlPr>
          </m:sSubPr>
          <m:e>
            <m:r>
              <w:rPr>
                <w:rFonts w:ascii="Cambria Math" w:eastAsia="CambriaMath" w:hAnsi="Cambria Math" w:cs="CambriaMath" w:hint="eastAsia"/>
                <w:szCs w:val="20"/>
              </w:rPr>
              <m:t>ρ</m:t>
            </m:r>
          </m:e>
          <m:sub>
            <m:r>
              <w:rPr>
                <w:rFonts w:ascii="Cambria Math" w:eastAsia="CambriaMath" w:hAnsi="Cambria Math" w:cs="CambriaMath"/>
                <w:szCs w:val="20"/>
              </w:rPr>
              <m:t>a</m:t>
            </m:r>
          </m:sub>
        </m:sSub>
      </m:oMath>
      <w:r w:rsidRPr="007E6787">
        <w:rPr>
          <w:lang w:eastAsia="en-GB"/>
        </w:rPr>
        <w:t>, l’Ente territorialmente competente può valorizzare il coefficiente</w:t>
      </w:r>
      <w:r>
        <w:rPr>
          <w:lang w:eastAsia="en-GB"/>
        </w:rPr>
        <w:t xml:space="preserve"> </w:t>
      </w:r>
      <m:oMath>
        <m:sSub>
          <m:sSubPr>
            <m:ctrlPr>
              <w:rPr>
                <w:rFonts w:ascii="Cambria Math" w:eastAsia="CambriaMath" w:hAnsi="Cambria Math" w:cs="CambriaMath"/>
                <w:i/>
              </w:rPr>
            </m:ctrlPr>
          </m:sSubPr>
          <m:e>
            <m:r>
              <w:rPr>
                <w:rFonts w:ascii="Cambria Math" w:eastAsia="CambriaMath" w:hAnsi="Cambria Math" w:cs="CambriaMath"/>
              </w:rPr>
              <m:t>CRI</m:t>
            </m:r>
          </m:e>
          <m:sub>
            <m:r>
              <w:rPr>
                <w:rFonts w:ascii="Cambria Math" w:eastAsia="CambriaMath" w:hAnsi="Cambria Math" w:cs="CambriaMath"/>
              </w:rPr>
              <m:t>a</m:t>
            </m:r>
          </m:sub>
        </m:sSub>
      </m:oMath>
      <w:r w:rsidRPr="007E6787">
        <w:rPr>
          <w:lang w:eastAsia="en-GB"/>
        </w:rPr>
        <w:t xml:space="preserve">, </w:t>
      </w:r>
      <w:r w:rsidR="00DE483A">
        <w:rPr>
          <w:lang w:eastAsia="en-GB"/>
        </w:rPr>
        <w:t xml:space="preserve">per </w:t>
      </w:r>
      <w:r w:rsidRPr="007E6787">
        <w:rPr>
          <w:lang w:eastAsia="en-GB"/>
        </w:rPr>
        <w:t>ten</w:t>
      </w:r>
      <w:r w:rsidR="00DE483A">
        <w:rPr>
          <w:lang w:eastAsia="en-GB"/>
        </w:rPr>
        <w:t>ere</w:t>
      </w:r>
      <w:r w:rsidRPr="007E6787">
        <w:rPr>
          <w:lang w:eastAsia="en-GB"/>
        </w:rPr>
        <w:t xml:space="preserve"> conto dei maggiori oneri sostenuti per il servizio integrato di gestione dei rifiuti negli anni 2022 e 2023 riconducibili alla dinamica dei prezzi dei fattori della produzione. Tale</w:t>
      </w:r>
      <w:r w:rsidRPr="007E6787">
        <w:t xml:space="preserve"> </w:t>
      </w:r>
      <w:r w:rsidRPr="007E6787">
        <w:rPr>
          <w:lang w:eastAsia="en-GB"/>
        </w:rPr>
        <w:t xml:space="preserve">coefficiente può essere valorizzato entro il limite del 7%, non potendo comunque il parametro </w:t>
      </w:r>
      <m:oMath>
        <m:sSub>
          <m:sSubPr>
            <m:ctrlPr>
              <w:rPr>
                <w:rFonts w:ascii="Cambria Math" w:eastAsia="CambriaMath" w:hAnsi="Cambria Math" w:cs="CambriaMath"/>
                <w:i/>
                <w:szCs w:val="20"/>
              </w:rPr>
            </m:ctrlPr>
          </m:sSubPr>
          <m:e>
            <m:r>
              <w:rPr>
                <w:rFonts w:ascii="Cambria Math" w:eastAsia="CambriaMath" w:hAnsi="Cambria Math" w:cs="CambriaMath" w:hint="eastAsia"/>
                <w:szCs w:val="20"/>
              </w:rPr>
              <m:t>ρ</m:t>
            </m:r>
          </m:e>
          <m:sub>
            <m:r>
              <w:rPr>
                <w:rFonts w:ascii="Cambria Math" w:eastAsia="CambriaMath" w:hAnsi="Cambria Math" w:cs="CambriaMath"/>
                <w:szCs w:val="20"/>
              </w:rPr>
              <m:t>a</m:t>
            </m:r>
          </m:sub>
        </m:sSub>
      </m:oMath>
      <w:r w:rsidR="00DE483A" w:rsidRPr="007E6787">
        <w:rPr>
          <w:lang w:eastAsia="en-GB"/>
        </w:rPr>
        <w:t>,</w:t>
      </w:r>
      <w:r w:rsidRPr="007E6787">
        <w:rPr>
          <w:lang w:eastAsia="en-GB"/>
        </w:rPr>
        <w:t xml:space="preserve"> assumere valore superiore a quello risultante dalla formula di cui al comma 4.2</w:t>
      </w:r>
      <w:r w:rsidR="00DE483A">
        <w:rPr>
          <w:lang w:eastAsia="en-GB"/>
        </w:rPr>
        <w:t xml:space="preserve"> del MTR-2 aggiornato</w:t>
      </w:r>
      <w:r w:rsidRPr="007E6787">
        <w:rPr>
          <w:lang w:eastAsia="en-GB"/>
        </w:rPr>
        <w:t>, fatta salva la facoltà prevista dal comma 4.6</w:t>
      </w:r>
      <w:r w:rsidR="00DE483A">
        <w:rPr>
          <w:lang w:eastAsia="en-GB"/>
        </w:rPr>
        <w:t>.</w:t>
      </w:r>
    </w:p>
    <w:p w14:paraId="5F0593C9" w14:textId="53A3E918" w:rsidR="00700758" w:rsidRDefault="00700758" w:rsidP="00700758">
      <w:pPr>
        <w:rPr>
          <w:lang w:eastAsia="en-GB"/>
        </w:rPr>
      </w:pPr>
      <w:r>
        <w:rPr>
          <w:lang w:eastAsia="en-GB"/>
        </w:rPr>
        <w:t>I valori delle entrate tariffarie</w:t>
      </w:r>
      <w:r w:rsidR="00DE483A">
        <w:rPr>
          <w:lang w:eastAsia="en-GB"/>
        </w:rPr>
        <w:t xml:space="preserve"> relative all’aggiornamento biennale 2024-2025 </w:t>
      </w:r>
      <w:r>
        <w:rPr>
          <w:lang w:eastAsia="en-GB"/>
        </w:rPr>
        <w:t>sono rappresentate nel PEF allegato, così come l’importo delle entrate tariffarie massime applicabili nel rispetto del limite alla crescita</w:t>
      </w:r>
      <w:r w:rsidR="00116B1A">
        <w:rPr>
          <w:lang w:eastAsia="en-GB"/>
        </w:rPr>
        <w:t>:</w:t>
      </w:r>
    </w:p>
    <w:p w14:paraId="74037117" w14:textId="05D2C557" w:rsidR="00700758" w:rsidRDefault="001F5BF8" w:rsidP="00EE02F0">
      <w:pPr>
        <w:pStyle w:val="Didascalia"/>
        <w:spacing w:before="240" w:after="0" w:line="360" w:lineRule="auto"/>
        <w:ind w:left="357"/>
      </w:pPr>
      <w:r>
        <w:t xml:space="preserve">Tabella </w:t>
      </w:r>
      <w:r w:rsidR="003E1024">
        <w:fldChar w:fldCharType="begin"/>
      </w:r>
      <w:r w:rsidR="003E1024">
        <w:instrText xml:space="preserve"> SEQ Tabella \* ARABIC </w:instrText>
      </w:r>
      <w:r w:rsidR="003E1024">
        <w:fldChar w:fldCharType="separate"/>
      </w:r>
      <w:r w:rsidR="004A2C56">
        <w:rPr>
          <w:noProof/>
        </w:rPr>
        <w:t>51</w:t>
      </w:r>
      <w:r w:rsidR="003E1024">
        <w:rPr>
          <w:noProof/>
        </w:rPr>
        <w:fldChar w:fldCharType="end"/>
      </w:r>
      <w:r>
        <w:t xml:space="preserve"> </w:t>
      </w:r>
      <w:r w:rsidR="0008161B">
        <w:t xml:space="preserve">Entrate tariffarie di riferimento </w:t>
      </w:r>
      <w:proofErr w:type="gramStart"/>
      <w:r w:rsidR="0008161B">
        <w:t>e</w:t>
      </w:r>
      <w:proofErr w:type="gramEnd"/>
      <w:r w:rsidR="0008161B">
        <w:t xml:space="preserve"> entrate tariffarie massime applicabili</w:t>
      </w:r>
    </w:p>
    <w:tbl>
      <w:tblPr>
        <w:tblStyle w:val="Tabellagriglia1chiara-colore1"/>
        <w:tblW w:w="9550" w:type="dxa"/>
        <w:tblLook w:val="04A0" w:firstRow="1" w:lastRow="0" w:firstColumn="1" w:lastColumn="0" w:noHBand="0" w:noVBand="1"/>
      </w:tblPr>
      <w:tblGrid>
        <w:gridCol w:w="1488"/>
        <w:gridCol w:w="6022"/>
        <w:gridCol w:w="1020"/>
        <w:gridCol w:w="1020"/>
      </w:tblGrid>
      <w:tr w:rsidR="00DE483A" w14:paraId="02E14AC5" w14:textId="77777777" w:rsidTr="00DE483A">
        <w:trPr>
          <w:cnfStyle w:val="100000000000" w:firstRow="1" w:lastRow="0" w:firstColumn="0" w:lastColumn="0" w:oddVBand="0" w:evenVBand="0" w:oddHBand="0" w:evenHBand="0" w:firstRowFirstColumn="0" w:firstRowLastColumn="0" w:lastRowFirstColumn="0" w:lastRowLastColumn="0"/>
          <w:trHeight w:val="686"/>
          <w:tblHeader/>
        </w:trPr>
        <w:tc>
          <w:tcPr>
            <w:cnfStyle w:val="001000000000" w:firstRow="0" w:lastRow="0" w:firstColumn="1" w:lastColumn="0" w:oddVBand="0" w:evenVBand="0" w:oddHBand="0" w:evenHBand="0" w:firstRowFirstColumn="0" w:firstRowLastColumn="0" w:lastRowFirstColumn="0" w:lastRowLastColumn="0"/>
            <w:tcW w:w="1488" w:type="dxa"/>
            <w:vAlign w:val="center"/>
          </w:tcPr>
          <w:p w14:paraId="43166ED9" w14:textId="0E692F18" w:rsidR="00DE483A" w:rsidRPr="003F69A6" w:rsidRDefault="00DE483A" w:rsidP="00012E69">
            <w:pPr>
              <w:jc w:val="center"/>
              <w:rPr>
                <w:rFonts w:ascii="Tahoma" w:hAnsi="Tahoma" w:cs="Tahoma"/>
                <w:sz w:val="16"/>
                <w:szCs w:val="16"/>
                <w:lang w:eastAsia="en-GB"/>
              </w:rPr>
            </w:pPr>
            <w:r w:rsidRPr="003F69A6">
              <w:rPr>
                <w:rFonts w:ascii="Tahoma" w:hAnsi="Tahoma" w:cs="Tahoma"/>
                <w:sz w:val="16"/>
                <w:szCs w:val="16"/>
                <w:lang w:eastAsia="en-GB"/>
              </w:rPr>
              <w:t>Componente</w:t>
            </w:r>
          </w:p>
        </w:tc>
        <w:tc>
          <w:tcPr>
            <w:tcW w:w="6022" w:type="dxa"/>
            <w:vAlign w:val="center"/>
          </w:tcPr>
          <w:p w14:paraId="4EA75F76" w14:textId="77777777" w:rsidR="00DE483A" w:rsidRPr="003F69A6" w:rsidRDefault="00DE483A" w:rsidP="00012E69">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Descrizione</w:t>
            </w:r>
          </w:p>
        </w:tc>
        <w:tc>
          <w:tcPr>
            <w:tcW w:w="1020" w:type="dxa"/>
            <w:vAlign w:val="center"/>
          </w:tcPr>
          <w:p w14:paraId="4E496028" w14:textId="77777777" w:rsidR="00DE483A" w:rsidRPr="003F69A6" w:rsidRDefault="00DE483A" w:rsidP="00012E69">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16"/>
                <w:szCs w:val="16"/>
                <w:lang w:eastAsia="en-GB"/>
              </w:rPr>
            </w:pPr>
            <w:r w:rsidRPr="003F69A6">
              <w:rPr>
                <w:rFonts w:ascii="Tahoma" w:hAnsi="Tahoma" w:cs="Tahoma"/>
                <w:sz w:val="16"/>
                <w:szCs w:val="16"/>
                <w:lang w:eastAsia="en-GB"/>
              </w:rPr>
              <w:t>PEF 2024</w:t>
            </w:r>
          </w:p>
        </w:tc>
        <w:tc>
          <w:tcPr>
            <w:tcW w:w="1020" w:type="dxa"/>
            <w:vAlign w:val="center"/>
          </w:tcPr>
          <w:p w14:paraId="6FFAC841" w14:textId="77777777" w:rsidR="00DE483A" w:rsidRPr="003F69A6" w:rsidRDefault="00DE483A" w:rsidP="00012E69">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PEF 2025</w:t>
            </w:r>
          </w:p>
        </w:tc>
      </w:tr>
      <w:tr w:rsidR="00DE483A" w14:paraId="1649F3E7" w14:textId="77777777" w:rsidTr="00DE483A">
        <w:trPr>
          <w:trHeight w:val="431"/>
        </w:trPr>
        <w:tc>
          <w:tcPr>
            <w:cnfStyle w:val="001000000000" w:firstRow="0" w:lastRow="0" w:firstColumn="1" w:lastColumn="0" w:oddVBand="0" w:evenVBand="0" w:oddHBand="0" w:evenHBand="0" w:firstRowFirstColumn="0" w:firstRowLastColumn="0" w:lastRowFirstColumn="0" w:lastRowLastColumn="0"/>
            <w:tcW w:w="1488" w:type="dxa"/>
            <w:vAlign w:val="center"/>
          </w:tcPr>
          <w:p w14:paraId="17FE2370" w14:textId="3DDEB87B" w:rsidR="00DE483A" w:rsidRPr="003F69A6" w:rsidRDefault="000E440F" w:rsidP="00012E69">
            <w:pPr>
              <w:jc w:val="center"/>
              <w:rPr>
                <w:rFonts w:ascii="Tahoma" w:hAnsi="Tahoma" w:cs="Tahoma"/>
                <w:i/>
                <w:iCs/>
                <w:sz w:val="16"/>
                <w:szCs w:val="16"/>
                <w:lang w:eastAsia="en-GB"/>
              </w:rPr>
            </w:pPr>
            <m:oMathPara>
              <m:oMath>
                <m:nary>
                  <m:naryPr>
                    <m:chr m:val="∑"/>
                    <m:subHide m:val="1"/>
                    <m:supHide m:val="1"/>
                    <m:ctrlPr>
                      <w:rPr>
                        <w:rFonts w:ascii="Cambria Math" w:hAnsi="Cambria Math" w:cs="Tahoma"/>
                        <w:b w:val="0"/>
                        <w:bCs w:val="0"/>
                        <w:i/>
                        <w:iCs/>
                        <w:sz w:val="16"/>
                        <w:szCs w:val="16"/>
                        <w:lang w:eastAsia="en-GB"/>
                      </w:rPr>
                    </m:ctrlPr>
                  </m:naryPr>
                  <m:sub/>
                  <m:sup/>
                  <m:e>
                    <m:sSub>
                      <m:sSubPr>
                        <m:ctrlPr>
                          <w:rPr>
                            <w:rFonts w:ascii="Cambria Math" w:hAnsi="Cambria Math" w:cs="Tahoma"/>
                            <w:i/>
                            <w:iCs/>
                            <w:sz w:val="16"/>
                            <w:szCs w:val="16"/>
                            <w:lang w:eastAsia="en-GB"/>
                          </w:rPr>
                        </m:ctrlPr>
                      </m:sSubPr>
                      <m:e>
                        <m:r>
                          <m:rPr>
                            <m:sty m:val="bi"/>
                          </m:rPr>
                          <w:rPr>
                            <w:rFonts w:ascii="Cambria Math" w:hAnsi="Cambria Math" w:cs="Tahoma"/>
                            <w:sz w:val="16"/>
                            <w:szCs w:val="16"/>
                            <w:lang w:eastAsia="en-GB"/>
                          </w:rPr>
                          <m:t>T</m:t>
                        </m:r>
                      </m:e>
                      <m:sub>
                        <m:r>
                          <m:rPr>
                            <m:sty m:val="bi"/>
                          </m:rPr>
                          <w:rPr>
                            <w:rFonts w:ascii="Cambria Math" w:hAnsi="Cambria Math" w:cs="Tahoma"/>
                            <w:sz w:val="16"/>
                            <w:szCs w:val="16"/>
                            <w:lang w:eastAsia="en-GB"/>
                          </w:rPr>
                          <m:t>a</m:t>
                        </m:r>
                      </m:sub>
                    </m:sSub>
                  </m:e>
                </m:nary>
              </m:oMath>
            </m:oMathPara>
          </w:p>
        </w:tc>
        <w:tc>
          <w:tcPr>
            <w:tcW w:w="6022" w:type="dxa"/>
            <w:vAlign w:val="center"/>
          </w:tcPr>
          <w:p w14:paraId="0BA23830" w14:textId="77777777" w:rsidR="00DE483A" w:rsidRPr="003F69A6" w:rsidRDefault="00DE483A" w:rsidP="00012E69">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Entrate tariffarie di riferimento</w:t>
            </w:r>
          </w:p>
        </w:tc>
        <w:tc>
          <w:tcPr>
            <w:tcW w:w="1020" w:type="dxa"/>
            <w:vAlign w:val="center"/>
          </w:tcPr>
          <w:p w14:paraId="07590571" w14:textId="794761B4" w:rsidR="00DE483A" w:rsidRPr="000D5AF2" w:rsidRDefault="008B7A1D" w:rsidP="00012E69">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Pr>
                <w:rFonts w:ascii="Tahoma" w:hAnsi="Tahoma" w:cs="Tahoma"/>
                <w:sz w:val="16"/>
                <w:szCs w:val="16"/>
                <w:lang w:eastAsia="en-GB"/>
              </w:rPr>
              <w:t>248.314</w:t>
            </w:r>
          </w:p>
        </w:tc>
        <w:tc>
          <w:tcPr>
            <w:tcW w:w="1020" w:type="dxa"/>
            <w:vAlign w:val="center"/>
          </w:tcPr>
          <w:p w14:paraId="7D3285F5" w14:textId="2BF15B2B" w:rsidR="00DE483A" w:rsidRPr="000D5AF2" w:rsidRDefault="00D3012C" w:rsidP="00012E69">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Pr>
                <w:rFonts w:ascii="Tahoma" w:hAnsi="Tahoma" w:cs="Tahoma"/>
                <w:sz w:val="16"/>
                <w:szCs w:val="16"/>
                <w:lang w:eastAsia="en-GB"/>
              </w:rPr>
              <w:t>272.136</w:t>
            </w:r>
          </w:p>
        </w:tc>
      </w:tr>
      <w:tr w:rsidR="00D3012C" w14:paraId="28732698" w14:textId="77777777" w:rsidTr="00DE483A">
        <w:trPr>
          <w:trHeight w:val="442"/>
        </w:trPr>
        <w:tc>
          <w:tcPr>
            <w:cnfStyle w:val="001000000000" w:firstRow="0" w:lastRow="0" w:firstColumn="1" w:lastColumn="0" w:oddVBand="0" w:evenVBand="0" w:oddHBand="0" w:evenHBand="0" w:firstRowFirstColumn="0" w:firstRowLastColumn="0" w:lastRowFirstColumn="0" w:lastRowLastColumn="0"/>
            <w:tcW w:w="1488" w:type="dxa"/>
            <w:vAlign w:val="center"/>
          </w:tcPr>
          <w:p w14:paraId="2E1EADF9" w14:textId="687D61C8" w:rsidR="00D3012C" w:rsidRPr="003F69A6" w:rsidRDefault="000E440F" w:rsidP="00D3012C">
            <w:pPr>
              <w:jc w:val="center"/>
              <w:rPr>
                <w:rFonts w:ascii="Tahoma" w:hAnsi="Tahoma" w:cs="Tahoma"/>
                <w:i/>
                <w:iCs/>
                <w:sz w:val="16"/>
                <w:szCs w:val="16"/>
                <w:lang w:eastAsia="en-GB"/>
              </w:rPr>
            </w:pPr>
            <m:oMathPara>
              <m:oMath>
                <m:nary>
                  <m:naryPr>
                    <m:chr m:val="∑"/>
                    <m:subHide m:val="1"/>
                    <m:supHide m:val="1"/>
                    <m:ctrlPr>
                      <w:rPr>
                        <w:rFonts w:ascii="Cambria Math" w:hAnsi="Cambria Math" w:cs="Tahoma"/>
                        <w:b w:val="0"/>
                        <w:bCs w:val="0"/>
                        <w:i/>
                        <w:iCs/>
                        <w:sz w:val="16"/>
                        <w:szCs w:val="16"/>
                        <w:lang w:eastAsia="en-GB"/>
                      </w:rPr>
                    </m:ctrlPr>
                  </m:naryPr>
                  <m:sub/>
                  <m:sup/>
                  <m:e>
                    <m:sSub>
                      <m:sSubPr>
                        <m:ctrlPr>
                          <w:rPr>
                            <w:rFonts w:ascii="Cambria Math" w:hAnsi="Cambria Math" w:cs="Tahoma"/>
                            <w:i/>
                            <w:iCs/>
                            <w:sz w:val="16"/>
                            <w:szCs w:val="16"/>
                            <w:lang w:eastAsia="en-GB"/>
                          </w:rPr>
                        </m:ctrlPr>
                      </m:sSubPr>
                      <m:e>
                        <m:r>
                          <m:rPr>
                            <m:sty m:val="bi"/>
                          </m:rPr>
                          <w:rPr>
                            <w:rFonts w:ascii="Cambria Math" w:hAnsi="Cambria Math" w:cs="Tahoma"/>
                            <w:sz w:val="16"/>
                            <w:szCs w:val="16"/>
                            <w:lang w:eastAsia="en-GB"/>
                          </w:rPr>
                          <m:t>T</m:t>
                        </m:r>
                      </m:e>
                      <m:sub>
                        <m:r>
                          <m:rPr>
                            <m:sty m:val="bi"/>
                          </m:rPr>
                          <w:rPr>
                            <w:rFonts w:ascii="Cambria Math" w:hAnsi="Cambria Math" w:cs="Tahoma"/>
                            <w:sz w:val="16"/>
                            <w:szCs w:val="16"/>
                            <w:lang w:eastAsia="en-GB"/>
                          </w:rPr>
                          <m:t>max</m:t>
                        </m:r>
                      </m:sub>
                    </m:sSub>
                  </m:e>
                </m:nary>
              </m:oMath>
            </m:oMathPara>
          </w:p>
        </w:tc>
        <w:tc>
          <w:tcPr>
            <w:tcW w:w="6022" w:type="dxa"/>
            <w:vAlign w:val="center"/>
          </w:tcPr>
          <w:p w14:paraId="6A05071D" w14:textId="77777777" w:rsidR="00D3012C" w:rsidRPr="003F69A6" w:rsidRDefault="00D3012C" w:rsidP="00D3012C">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Entrate tariffarie massime applicabili nel rispetto del limite di crescita</w:t>
            </w:r>
          </w:p>
        </w:tc>
        <w:tc>
          <w:tcPr>
            <w:tcW w:w="1020" w:type="dxa"/>
            <w:vAlign w:val="center"/>
          </w:tcPr>
          <w:p w14:paraId="42B1A66D" w14:textId="6D1932B6" w:rsidR="00D3012C" w:rsidRPr="000D5AF2" w:rsidRDefault="00D3012C" w:rsidP="00D3012C">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Pr>
                <w:rFonts w:ascii="Tahoma" w:hAnsi="Tahoma" w:cs="Tahoma"/>
                <w:sz w:val="16"/>
                <w:szCs w:val="16"/>
                <w:lang w:eastAsia="en-GB"/>
              </w:rPr>
              <w:t>248.314</w:t>
            </w:r>
          </w:p>
        </w:tc>
        <w:tc>
          <w:tcPr>
            <w:tcW w:w="1020" w:type="dxa"/>
            <w:vAlign w:val="center"/>
          </w:tcPr>
          <w:p w14:paraId="344A7B91" w14:textId="003BD4B8" w:rsidR="00D3012C" w:rsidRPr="000D5AF2" w:rsidRDefault="00D3012C" w:rsidP="00D3012C">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Pr>
                <w:rFonts w:ascii="Tahoma" w:hAnsi="Tahoma" w:cs="Tahoma"/>
                <w:sz w:val="16"/>
                <w:szCs w:val="16"/>
                <w:lang w:eastAsia="en-GB"/>
              </w:rPr>
              <w:t>272.136</w:t>
            </w:r>
          </w:p>
        </w:tc>
      </w:tr>
    </w:tbl>
    <w:p w14:paraId="5E7D59B8" w14:textId="10B51DBD" w:rsidR="00700758" w:rsidRDefault="00700758" w:rsidP="00700758">
      <w:pPr>
        <w:rPr>
          <w:lang w:eastAsia="en-GB"/>
        </w:rPr>
      </w:pPr>
      <w:r>
        <w:rPr>
          <w:lang w:eastAsia="en-GB"/>
        </w:rPr>
        <w:t xml:space="preserve">Nei paragrafi che seguono sono riportate le considerazioni </w:t>
      </w:r>
      <w:r w:rsidR="001F5BF8">
        <w:rPr>
          <w:lang w:eastAsia="en-GB"/>
        </w:rPr>
        <w:t xml:space="preserve">in </w:t>
      </w:r>
      <w:r>
        <w:rPr>
          <w:lang w:eastAsia="en-GB"/>
        </w:rPr>
        <w:t xml:space="preserve">merito alla determinazione dei singoli coefficienti che compongono il parametro </w:t>
      </w:r>
      <m:oMath>
        <m:sSub>
          <m:sSubPr>
            <m:ctrlPr>
              <w:rPr>
                <w:rFonts w:ascii="Cambria Math" w:eastAsia="CambriaMath" w:hAnsi="Cambria Math" w:cs="CambriaMath"/>
                <w:i/>
                <w:szCs w:val="20"/>
              </w:rPr>
            </m:ctrlPr>
          </m:sSubPr>
          <m:e>
            <m:r>
              <w:rPr>
                <w:rFonts w:ascii="Cambria Math" w:eastAsia="CambriaMath" w:hAnsi="Cambria Math" w:cs="CambriaMath" w:hint="eastAsia"/>
                <w:szCs w:val="20"/>
              </w:rPr>
              <m:t>ρ</m:t>
            </m:r>
          </m:e>
          <m:sub>
            <m:r>
              <w:rPr>
                <w:rFonts w:ascii="Cambria Math" w:eastAsia="CambriaMath" w:hAnsi="Cambria Math" w:cs="CambriaMath"/>
                <w:szCs w:val="20"/>
              </w:rPr>
              <m:t>a</m:t>
            </m:r>
          </m:sub>
        </m:sSub>
      </m:oMath>
      <w:r w:rsidR="00DE483A">
        <w:rPr>
          <w:b/>
          <w:bCs/>
          <w:i/>
          <w:iCs/>
          <w:vertAlign w:val="subscript"/>
          <w:lang w:eastAsia="en-GB"/>
        </w:rPr>
        <w:t xml:space="preserve">, </w:t>
      </w:r>
      <w:r w:rsidR="00DE483A">
        <w:t xml:space="preserve">incluso il coefficiente di recupero dell’inflazione </w:t>
      </w:r>
      <w:r w:rsidR="00DE483A" w:rsidRPr="00DE483A">
        <w:rPr>
          <w:rFonts w:ascii="Cambria Math" w:hAnsi="Cambria Math"/>
          <w:i/>
          <w:iCs/>
        </w:rPr>
        <w:t>CRI</w:t>
      </w:r>
      <w:r w:rsidR="00DE483A">
        <w:t>, introdotto dalla deliberazione 389</w:t>
      </w:r>
      <w:r w:rsidR="00DE483A" w:rsidRPr="00623181">
        <w:t>/202</w:t>
      </w:r>
      <w:r w:rsidR="00DE483A">
        <w:t>3</w:t>
      </w:r>
      <w:r w:rsidR="00DE483A" w:rsidRPr="00623181">
        <w:t>/R/</w:t>
      </w:r>
      <w:r w:rsidR="00DE483A" w:rsidRPr="009B0EAB">
        <w:rPr>
          <w:szCs w:val="20"/>
        </w:rPr>
        <w:t>RIF</w:t>
      </w:r>
      <w:r w:rsidR="00DE483A">
        <w:rPr>
          <w:szCs w:val="20"/>
        </w:rPr>
        <w:t xml:space="preserve"> di ARERA.</w:t>
      </w:r>
    </w:p>
    <w:p w14:paraId="09E7BEEA" w14:textId="77777777" w:rsidR="00700758" w:rsidRDefault="00700758" w:rsidP="00700758">
      <w:pPr>
        <w:rPr>
          <w:lang w:eastAsia="en-GB"/>
        </w:rPr>
      </w:pPr>
    </w:p>
    <w:p w14:paraId="1A93CD09" w14:textId="77777777" w:rsidR="00700758" w:rsidRPr="0034669D" w:rsidRDefault="00700758" w:rsidP="00700758">
      <w:pPr>
        <w:pStyle w:val="Titolo3"/>
      </w:pPr>
      <w:bookmarkStart w:id="19" w:name="_Toc93658147"/>
      <w:bookmarkStart w:id="20" w:name="_Ref96589092"/>
      <w:bookmarkStart w:id="21" w:name="_Ref96589110"/>
      <w:bookmarkStart w:id="22" w:name="_Ref96589111"/>
      <w:bookmarkStart w:id="23" w:name="_Toc163127414"/>
      <w:r>
        <w:t>Coefficiente di recupero di produttività</w:t>
      </w:r>
      <w:bookmarkEnd w:id="19"/>
      <w:bookmarkEnd w:id="20"/>
      <w:bookmarkEnd w:id="21"/>
      <w:bookmarkEnd w:id="22"/>
      <w:bookmarkEnd w:id="23"/>
      <w:r w:rsidRPr="0034669D">
        <w:t xml:space="preserve"> </w:t>
      </w:r>
    </w:p>
    <w:p w14:paraId="332D8453" w14:textId="65BBF50D" w:rsidR="00700758" w:rsidRDefault="00700758" w:rsidP="00700758">
      <w:pPr>
        <w:rPr>
          <w:lang w:eastAsia="en-GB"/>
        </w:rPr>
      </w:pPr>
      <w:r>
        <w:rPr>
          <w:lang w:eastAsia="en-GB"/>
        </w:rPr>
        <w:t xml:space="preserve">L’Ente, </w:t>
      </w:r>
      <w:r w:rsidR="004120A6">
        <w:rPr>
          <w:lang w:eastAsia="en-GB"/>
        </w:rPr>
        <w:t>in conformità all’art.</w:t>
      </w:r>
      <w:r w:rsidR="005A2946">
        <w:rPr>
          <w:lang w:eastAsia="en-GB"/>
        </w:rPr>
        <w:t xml:space="preserve"> </w:t>
      </w:r>
      <w:r w:rsidR="004120A6">
        <w:rPr>
          <w:lang w:eastAsia="en-GB"/>
        </w:rPr>
        <w:t>5 del MTR-2</w:t>
      </w:r>
      <w:r w:rsidR="00DE483A">
        <w:rPr>
          <w:lang w:eastAsia="en-GB"/>
        </w:rPr>
        <w:t xml:space="preserve"> aggiornato</w:t>
      </w:r>
      <w:r w:rsidR="004120A6">
        <w:rPr>
          <w:lang w:eastAsia="en-GB"/>
        </w:rPr>
        <w:t xml:space="preserve">, </w:t>
      </w:r>
      <w:r w:rsidR="00D47746">
        <w:t>tenendo</w:t>
      </w:r>
      <w:r>
        <w:rPr>
          <w:lang w:eastAsia="en-GB"/>
        </w:rPr>
        <w:t xml:space="preserve"> conto:</w:t>
      </w:r>
    </w:p>
    <w:p w14:paraId="743A2483" w14:textId="6AF5238E" w:rsidR="00700758" w:rsidRDefault="00700758" w:rsidP="00732927">
      <w:pPr>
        <w:pStyle w:val="Paragrafoelenco"/>
        <w:numPr>
          <w:ilvl w:val="0"/>
          <w:numId w:val="19"/>
        </w:numPr>
      </w:pPr>
      <w:r>
        <w:t xml:space="preserve">del confronto tra il costo unitario effettivo </w:t>
      </w:r>
      <w:r w:rsidR="00DE483A">
        <w:t>(</w:t>
      </w:r>
      <m:oMath>
        <m:sSub>
          <m:sSubPr>
            <m:ctrlPr>
              <w:rPr>
                <w:rFonts w:ascii="Cambria Math" w:hAnsi="Cambria Math"/>
                <w:i/>
              </w:rPr>
            </m:ctrlPr>
          </m:sSubPr>
          <m:e>
            <m:r>
              <w:rPr>
                <w:rFonts w:ascii="Cambria Math" w:hAnsi="Cambria Math"/>
              </w:rPr>
              <m:t>CU</m:t>
            </m:r>
          </m:e>
          <m:sub>
            <m:r>
              <w:rPr>
                <w:rFonts w:ascii="Cambria Math" w:hAnsi="Cambria Math"/>
              </w:rPr>
              <m:t>eff</m:t>
            </m:r>
          </m:sub>
        </m:sSub>
      </m:oMath>
      <w:r w:rsidR="00DE483A">
        <w:t xml:space="preserve">) </w:t>
      </w:r>
      <w:r>
        <w:t xml:space="preserve">della gestione interessata e il </w:t>
      </w:r>
      <w:r w:rsidRPr="002A31DD">
        <w:rPr>
          <w:i/>
          <w:iCs/>
        </w:rPr>
        <w:t>Benchmark</w:t>
      </w:r>
      <w:r>
        <w:t xml:space="preserve"> di riferimento, come rappresentato ne</w:t>
      </w:r>
      <w:r w:rsidR="004120A6">
        <w:t>l PEF allegato</w:t>
      </w:r>
      <w:r w:rsidR="006044D7">
        <w:t>,</w:t>
      </w:r>
    </w:p>
    <w:p w14:paraId="7597B6EA" w14:textId="447EF81E" w:rsidR="00700758" w:rsidRDefault="00700758" w:rsidP="00732927">
      <w:pPr>
        <w:pStyle w:val="Paragrafoelenco"/>
        <w:numPr>
          <w:ilvl w:val="0"/>
          <w:numId w:val="19"/>
        </w:numPr>
      </w:pPr>
      <w:r>
        <w:t xml:space="preserve">dei risultati raggiunti dalla gestione in termini di raccolta differenziata </w:t>
      </w:r>
      <w:r w:rsidRPr="00AD38B2">
        <w:t>(</w:t>
      </w:r>
      <m:oMath>
        <m:sSub>
          <m:sSubPr>
            <m:ctrlPr>
              <w:rPr>
                <w:rFonts w:ascii="Cambria Math" w:hAnsi="Cambria Math" w:cs="Tahoma"/>
                <w:i/>
                <w:lang w:eastAsia="en-GB"/>
              </w:rPr>
            </m:ctrlPr>
          </m:sSubPr>
          <m:e>
            <m:r>
              <w:rPr>
                <w:rFonts w:ascii="Cambria Math" w:hAnsi="Cambria Math" w:cs="Tahoma"/>
                <w:lang w:eastAsia="en-GB"/>
              </w:rPr>
              <m:t>γ</m:t>
            </m:r>
          </m:e>
          <m:sub>
            <m:r>
              <w:rPr>
                <w:rFonts w:ascii="Cambria Math" w:hAnsi="Cambria Math" w:cs="Tahoma"/>
                <w:lang w:eastAsia="en-GB"/>
              </w:rPr>
              <m:t>1,a</m:t>
            </m:r>
          </m:sub>
        </m:sSub>
      </m:oMath>
      <w:r>
        <w:t>) e di efficacia delle attività di preparazione per il riutilizzo e il riciclo (</w:t>
      </w:r>
      <m:oMath>
        <m:sSub>
          <m:sSubPr>
            <m:ctrlPr>
              <w:rPr>
                <w:rFonts w:ascii="Cambria Math" w:hAnsi="Cambria Math" w:cs="Tahoma"/>
                <w:i/>
                <w:lang w:eastAsia="en-GB"/>
              </w:rPr>
            </m:ctrlPr>
          </m:sSubPr>
          <m:e>
            <m:r>
              <w:rPr>
                <w:rFonts w:ascii="Cambria Math" w:hAnsi="Cambria Math" w:cs="Tahoma"/>
                <w:lang w:eastAsia="en-GB"/>
              </w:rPr>
              <m:t>γ</m:t>
            </m:r>
          </m:e>
          <m:sub>
            <m:r>
              <w:rPr>
                <w:rFonts w:ascii="Cambria Math" w:hAnsi="Cambria Math" w:cs="Tahoma"/>
                <w:lang w:eastAsia="en-GB"/>
              </w:rPr>
              <m:t>2,a</m:t>
            </m:r>
          </m:sub>
        </m:sSub>
      </m:oMath>
      <w:r>
        <w:t>) rispetto agli obiettivi</w:t>
      </w:r>
      <w:r w:rsidR="006044D7">
        <w:t>,</w:t>
      </w:r>
    </w:p>
    <w:p w14:paraId="6F422433" w14:textId="0570DE3F" w:rsidR="006044D7" w:rsidRDefault="006044D7" w:rsidP="006044D7">
      <w:r>
        <w:t>ha determinato il valore del coefficiente di recupero di produttività nella misura indicata nel PEF allegato</w:t>
      </w:r>
      <w:r w:rsidR="002F01B3">
        <w:t>.</w:t>
      </w:r>
    </w:p>
    <w:p w14:paraId="5773AA1E" w14:textId="7B9641D7" w:rsidR="006044D7" w:rsidRPr="00EE02F0" w:rsidRDefault="006044D7" w:rsidP="00EE02F0">
      <w:pPr>
        <w:pStyle w:val="Didascalia"/>
        <w:spacing w:before="240" w:after="0" w:line="360" w:lineRule="auto"/>
        <w:ind w:left="357"/>
      </w:pPr>
      <w:r>
        <w:t xml:space="preserve">Tabella </w:t>
      </w:r>
      <w:r w:rsidR="003E1024">
        <w:fldChar w:fldCharType="begin"/>
      </w:r>
      <w:r w:rsidR="003E1024">
        <w:instrText xml:space="preserve"> SEQ Tabella \* ARABIC </w:instrText>
      </w:r>
      <w:r w:rsidR="003E1024">
        <w:fldChar w:fldCharType="separate"/>
      </w:r>
      <w:r w:rsidR="004A2C56">
        <w:rPr>
          <w:noProof/>
        </w:rPr>
        <w:t>52</w:t>
      </w:r>
      <w:r w:rsidR="003E1024">
        <w:rPr>
          <w:noProof/>
        </w:rPr>
        <w:fldChar w:fldCharType="end"/>
      </w:r>
      <w:r>
        <w:t xml:space="preserve"> Valorizzazione del coefficiente di recupero della produttività</w:t>
      </w:r>
    </w:p>
    <w:tbl>
      <w:tblPr>
        <w:tblStyle w:val="Tabellagriglia1chiara-colore1"/>
        <w:tblW w:w="9633" w:type="dxa"/>
        <w:tblLook w:val="04A0" w:firstRow="1" w:lastRow="0" w:firstColumn="1" w:lastColumn="0" w:noHBand="0" w:noVBand="1"/>
      </w:tblPr>
      <w:tblGrid>
        <w:gridCol w:w="1478"/>
        <w:gridCol w:w="6093"/>
        <w:gridCol w:w="1031"/>
        <w:gridCol w:w="1031"/>
      </w:tblGrid>
      <w:tr w:rsidR="00DE483A" w14:paraId="5FFF51BD" w14:textId="77777777" w:rsidTr="00DE483A">
        <w:trPr>
          <w:cnfStyle w:val="100000000000" w:firstRow="1" w:lastRow="0" w:firstColumn="0" w:lastColumn="0" w:oddVBand="0" w:evenVBand="0" w:oddHBand="0" w:evenHBand="0" w:firstRowFirstColumn="0" w:firstRowLastColumn="0" w:lastRowFirstColumn="0" w:lastRowLastColumn="0"/>
          <w:trHeight w:val="486"/>
          <w:tblHeader/>
        </w:trPr>
        <w:tc>
          <w:tcPr>
            <w:cnfStyle w:val="001000000000" w:firstRow="0" w:lastRow="0" w:firstColumn="1" w:lastColumn="0" w:oddVBand="0" w:evenVBand="0" w:oddHBand="0" w:evenHBand="0" w:firstRowFirstColumn="0" w:firstRowLastColumn="0" w:lastRowFirstColumn="0" w:lastRowLastColumn="0"/>
            <w:tcW w:w="1478" w:type="dxa"/>
            <w:vAlign w:val="center"/>
          </w:tcPr>
          <w:p w14:paraId="0B5228D4" w14:textId="77777777" w:rsidR="00DE483A" w:rsidRPr="003F69A6" w:rsidRDefault="00DE483A" w:rsidP="00AD38B2">
            <w:pPr>
              <w:jc w:val="center"/>
              <w:rPr>
                <w:rFonts w:ascii="Tahoma" w:hAnsi="Tahoma" w:cs="Tahoma"/>
                <w:sz w:val="16"/>
                <w:szCs w:val="16"/>
                <w:lang w:eastAsia="en-GB"/>
              </w:rPr>
            </w:pPr>
            <w:r w:rsidRPr="003F69A6">
              <w:rPr>
                <w:rFonts w:ascii="Tahoma" w:hAnsi="Tahoma" w:cs="Tahoma"/>
                <w:sz w:val="16"/>
                <w:szCs w:val="16"/>
                <w:lang w:eastAsia="en-GB"/>
              </w:rPr>
              <w:t>Coefficiente</w:t>
            </w:r>
          </w:p>
        </w:tc>
        <w:tc>
          <w:tcPr>
            <w:tcW w:w="6093" w:type="dxa"/>
            <w:vAlign w:val="center"/>
          </w:tcPr>
          <w:p w14:paraId="69F4FE04" w14:textId="77777777" w:rsidR="00DE483A" w:rsidRPr="003F69A6" w:rsidRDefault="00DE483A" w:rsidP="00AD38B2">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Descrizione</w:t>
            </w:r>
          </w:p>
        </w:tc>
        <w:tc>
          <w:tcPr>
            <w:tcW w:w="1031" w:type="dxa"/>
            <w:vAlign w:val="center"/>
          </w:tcPr>
          <w:p w14:paraId="335C575F" w14:textId="77777777" w:rsidR="00DE483A" w:rsidRPr="003F69A6" w:rsidRDefault="00DE483A" w:rsidP="00AD38B2">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16"/>
                <w:szCs w:val="16"/>
                <w:lang w:eastAsia="en-GB"/>
              </w:rPr>
            </w:pPr>
            <w:r w:rsidRPr="003F69A6">
              <w:rPr>
                <w:rFonts w:ascii="Tahoma" w:hAnsi="Tahoma" w:cs="Tahoma"/>
                <w:sz w:val="16"/>
                <w:szCs w:val="16"/>
                <w:lang w:eastAsia="en-GB"/>
              </w:rPr>
              <w:t>PEF 2024</w:t>
            </w:r>
          </w:p>
        </w:tc>
        <w:tc>
          <w:tcPr>
            <w:tcW w:w="1031" w:type="dxa"/>
            <w:vAlign w:val="center"/>
          </w:tcPr>
          <w:p w14:paraId="7890A463" w14:textId="77777777" w:rsidR="00DE483A" w:rsidRPr="003F69A6" w:rsidRDefault="00DE483A" w:rsidP="00AD38B2">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PEF 2025</w:t>
            </w:r>
          </w:p>
        </w:tc>
      </w:tr>
      <w:tr w:rsidR="00DE483A" w:rsidRPr="002F01B3" w14:paraId="6AFD7F5E" w14:textId="77777777" w:rsidTr="00DE483A">
        <w:trPr>
          <w:trHeight w:val="439"/>
        </w:trPr>
        <w:tc>
          <w:tcPr>
            <w:cnfStyle w:val="001000000000" w:firstRow="0" w:lastRow="0" w:firstColumn="1" w:lastColumn="0" w:oddVBand="0" w:evenVBand="0" w:oddHBand="0" w:evenHBand="0" w:firstRowFirstColumn="0" w:firstRowLastColumn="0" w:lastRowFirstColumn="0" w:lastRowLastColumn="0"/>
            <w:tcW w:w="1478" w:type="dxa"/>
            <w:vAlign w:val="center"/>
          </w:tcPr>
          <w:p w14:paraId="60EFAF87" w14:textId="192B9713" w:rsidR="00DE483A" w:rsidRPr="003F69A6" w:rsidRDefault="000E440F" w:rsidP="00AD38B2">
            <w:pPr>
              <w:jc w:val="center"/>
              <w:rPr>
                <w:rFonts w:ascii="Tahoma" w:hAnsi="Tahoma" w:cs="Tahoma"/>
                <w:i/>
                <w:iCs/>
                <w:sz w:val="16"/>
                <w:szCs w:val="16"/>
                <w:lang w:eastAsia="en-GB"/>
              </w:rPr>
            </w:pPr>
            <m:oMathPara>
              <m:oMath>
                <m:sSub>
                  <m:sSubPr>
                    <m:ctrlPr>
                      <w:rPr>
                        <w:rFonts w:ascii="Cambria Math" w:eastAsia="CambriaMath" w:hAnsi="Cambria Math" w:cs="CambriaMath"/>
                        <w:b w:val="0"/>
                        <w:bCs w:val="0"/>
                        <w:i/>
                        <w:szCs w:val="20"/>
                      </w:rPr>
                    </m:ctrlPr>
                  </m:sSubPr>
                  <m:e>
                    <m:r>
                      <m:rPr>
                        <m:sty m:val="bi"/>
                      </m:rPr>
                      <w:rPr>
                        <w:rFonts w:ascii="Cambria Math" w:eastAsia="CambriaMath" w:hAnsi="Cambria Math" w:cs="CambriaMath"/>
                      </w:rPr>
                      <m:t>X</m:t>
                    </m:r>
                  </m:e>
                  <m:sub>
                    <m:r>
                      <m:rPr>
                        <m:sty m:val="bi"/>
                      </m:rPr>
                      <w:rPr>
                        <w:rFonts w:ascii="Cambria Math" w:eastAsia="CambriaMath" w:hAnsi="Cambria Math" w:cs="CambriaMath"/>
                      </w:rPr>
                      <m:t>a</m:t>
                    </m:r>
                  </m:sub>
                </m:sSub>
              </m:oMath>
            </m:oMathPara>
          </w:p>
        </w:tc>
        <w:tc>
          <w:tcPr>
            <w:tcW w:w="6093" w:type="dxa"/>
            <w:vAlign w:val="center"/>
          </w:tcPr>
          <w:p w14:paraId="662DAF26" w14:textId="77777777" w:rsidR="00DE483A" w:rsidRPr="002F01B3" w:rsidRDefault="00DE483A" w:rsidP="00AD38B2">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2F01B3">
              <w:rPr>
                <w:rFonts w:ascii="Tahoma" w:hAnsi="Tahoma" w:cs="Tahoma"/>
                <w:sz w:val="16"/>
                <w:szCs w:val="16"/>
                <w:lang w:eastAsia="en-GB"/>
              </w:rPr>
              <w:t>Coefficiente di recupero della produttività</w:t>
            </w:r>
          </w:p>
        </w:tc>
        <w:tc>
          <w:tcPr>
            <w:tcW w:w="1031" w:type="dxa"/>
            <w:vAlign w:val="center"/>
          </w:tcPr>
          <w:p w14:paraId="376A76AF" w14:textId="101AC278" w:rsidR="00DE483A" w:rsidRPr="002F01B3" w:rsidRDefault="00DE483A" w:rsidP="00AD38B2">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2F01B3">
              <w:rPr>
                <w:rFonts w:ascii="Tahoma" w:hAnsi="Tahoma" w:cs="Tahoma"/>
                <w:sz w:val="16"/>
                <w:szCs w:val="16"/>
                <w:lang w:eastAsia="en-GB"/>
              </w:rPr>
              <w:t>0,</w:t>
            </w:r>
            <w:r w:rsidR="00566DDC">
              <w:rPr>
                <w:rFonts w:ascii="Tahoma" w:hAnsi="Tahoma" w:cs="Tahoma"/>
                <w:sz w:val="16"/>
                <w:szCs w:val="16"/>
                <w:lang w:eastAsia="en-GB"/>
              </w:rPr>
              <w:t>1</w:t>
            </w:r>
            <w:r w:rsidRPr="002F01B3">
              <w:rPr>
                <w:rFonts w:ascii="Tahoma" w:hAnsi="Tahoma" w:cs="Tahoma"/>
                <w:sz w:val="16"/>
                <w:szCs w:val="16"/>
                <w:lang w:eastAsia="en-GB"/>
              </w:rPr>
              <w:t>%</w:t>
            </w:r>
          </w:p>
        </w:tc>
        <w:tc>
          <w:tcPr>
            <w:tcW w:w="1031" w:type="dxa"/>
            <w:vAlign w:val="center"/>
          </w:tcPr>
          <w:p w14:paraId="0A57F277" w14:textId="2A3CE8C0" w:rsidR="00DE483A" w:rsidRPr="002F01B3" w:rsidRDefault="00DE483A" w:rsidP="00AD38B2">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2F01B3">
              <w:rPr>
                <w:rFonts w:ascii="Tahoma" w:hAnsi="Tahoma" w:cs="Tahoma"/>
                <w:sz w:val="16"/>
                <w:szCs w:val="16"/>
                <w:lang w:eastAsia="en-GB"/>
              </w:rPr>
              <w:t>0,</w:t>
            </w:r>
            <w:r w:rsidR="00566DDC">
              <w:rPr>
                <w:rFonts w:ascii="Tahoma" w:hAnsi="Tahoma" w:cs="Tahoma"/>
                <w:sz w:val="16"/>
                <w:szCs w:val="16"/>
                <w:lang w:eastAsia="en-GB"/>
              </w:rPr>
              <w:t>1</w:t>
            </w:r>
            <w:r w:rsidRPr="002F01B3">
              <w:rPr>
                <w:rFonts w:ascii="Tahoma" w:hAnsi="Tahoma" w:cs="Tahoma"/>
                <w:sz w:val="16"/>
                <w:szCs w:val="16"/>
                <w:lang w:eastAsia="en-GB"/>
              </w:rPr>
              <w:t>%</w:t>
            </w:r>
          </w:p>
        </w:tc>
      </w:tr>
    </w:tbl>
    <w:p w14:paraId="7AEBCAFC" w14:textId="43B5EC7A" w:rsidR="00D47746" w:rsidRDefault="00D47746" w:rsidP="00470284">
      <w:pPr>
        <w:spacing w:line="252" w:lineRule="auto"/>
        <w:rPr>
          <w:lang w:eastAsia="en-GB"/>
        </w:rPr>
      </w:pPr>
      <w:r>
        <w:rPr>
          <w:lang w:eastAsia="en-GB"/>
        </w:rPr>
        <w:t xml:space="preserve">In particolare, con riferimento agli indicatori di qualità ambientale della gestione, </w:t>
      </w:r>
      <w:r w:rsidR="006044D7">
        <w:rPr>
          <w:lang w:eastAsia="en-GB"/>
        </w:rPr>
        <w:t xml:space="preserve">si precisa che </w:t>
      </w:r>
      <w:r>
        <w:rPr>
          <w:lang w:eastAsia="en-GB"/>
        </w:rPr>
        <w:t xml:space="preserve">l’art. 5.1 </w:t>
      </w:r>
      <w:r w:rsidRPr="00191E48">
        <w:rPr>
          <w:i/>
          <w:iCs/>
          <w:lang w:eastAsia="en-GB"/>
        </w:rPr>
        <w:t>b)</w:t>
      </w:r>
      <w:r>
        <w:rPr>
          <w:lang w:eastAsia="en-GB"/>
        </w:rPr>
        <w:t xml:space="preserve"> del MTR-2</w:t>
      </w:r>
      <w:r w:rsidR="00DE483A">
        <w:rPr>
          <w:lang w:eastAsia="en-GB"/>
        </w:rPr>
        <w:t xml:space="preserve"> aggiornato</w:t>
      </w:r>
      <w:r>
        <w:rPr>
          <w:lang w:eastAsia="en-GB"/>
        </w:rPr>
        <w:t xml:space="preserve"> </w:t>
      </w:r>
      <w:r w:rsidR="00191E48">
        <w:rPr>
          <w:lang w:eastAsia="en-GB"/>
        </w:rPr>
        <w:t>definisce</w:t>
      </w:r>
      <w:r>
        <w:rPr>
          <w:lang w:eastAsia="en-GB"/>
        </w:rPr>
        <w:t>:</w:t>
      </w:r>
    </w:p>
    <w:p w14:paraId="42D71BA2" w14:textId="6091E623" w:rsidR="00D47746" w:rsidRDefault="000E440F" w:rsidP="00470284">
      <w:pPr>
        <w:pStyle w:val="Paragrafoelenco"/>
        <w:numPr>
          <w:ilvl w:val="2"/>
          <w:numId w:val="25"/>
        </w:numPr>
        <w:ind w:hanging="360"/>
        <w:jc w:val="both"/>
        <w:rPr>
          <w:lang w:eastAsia="en-GB"/>
        </w:rPr>
      </w:pPr>
      <m:oMath>
        <m:sSub>
          <m:sSubPr>
            <m:ctrlPr>
              <w:rPr>
                <w:rFonts w:ascii="Cambria Math" w:hAnsi="Cambria Math" w:cs="Tahoma"/>
                <w:i/>
                <w:lang w:eastAsia="en-GB"/>
              </w:rPr>
            </m:ctrlPr>
          </m:sSubPr>
          <m:e>
            <m:r>
              <m:rPr>
                <m:sty m:val="bi"/>
              </m:rPr>
              <w:rPr>
                <w:rFonts w:ascii="Cambria Math" w:hAnsi="Cambria Math" w:cs="Tahoma"/>
                <w:lang w:eastAsia="en-GB"/>
              </w:rPr>
              <m:t>γ</m:t>
            </m:r>
          </m:e>
          <m:sub>
            <m:r>
              <m:rPr>
                <m:sty m:val="bi"/>
              </m:rPr>
              <w:rPr>
                <w:rFonts w:ascii="Cambria Math" w:hAnsi="Cambria Math" w:cs="Tahoma"/>
                <w:lang w:eastAsia="en-GB"/>
              </w:rPr>
              <m:t>1</m:t>
            </m:r>
            <m:r>
              <m:rPr>
                <m:sty m:val="bi"/>
              </m:rPr>
              <w:rPr>
                <w:rFonts w:ascii="Cambria Math" w:hAnsi="Cambria Math" w:cs="Tahoma"/>
                <w:lang w:eastAsia="en-GB"/>
              </w:rPr>
              <m:t>,</m:t>
            </m:r>
            <m:r>
              <m:rPr>
                <m:sty m:val="bi"/>
              </m:rPr>
              <w:rPr>
                <w:rFonts w:ascii="Cambria Math" w:hAnsi="Cambria Math" w:cs="Tahoma"/>
                <w:lang w:eastAsia="en-GB"/>
              </w:rPr>
              <m:t>a</m:t>
            </m:r>
          </m:sub>
        </m:sSub>
      </m:oMath>
      <w:r w:rsidR="00470284">
        <w:t xml:space="preserve">, parametro che </w:t>
      </w:r>
      <w:r w:rsidR="00D47746">
        <w:t>esprime il rispetto degli obiettivi di raccolta differenziata raggiunti anche tenuto conto della coerenza tra la percentuale di raccolta differenziata conseguita e gli obiettivi ambientali comunitari;</w:t>
      </w:r>
    </w:p>
    <w:p w14:paraId="514BF9E1" w14:textId="6FE456BF" w:rsidR="00D47746" w:rsidRDefault="000E440F" w:rsidP="00470284">
      <w:pPr>
        <w:pStyle w:val="Paragrafoelenco"/>
        <w:numPr>
          <w:ilvl w:val="0"/>
          <w:numId w:val="25"/>
        </w:numPr>
        <w:jc w:val="both"/>
        <w:rPr>
          <w:lang w:eastAsia="en-GB"/>
        </w:rPr>
      </w:pPr>
      <m:oMath>
        <m:sSub>
          <m:sSubPr>
            <m:ctrlPr>
              <w:rPr>
                <w:rFonts w:ascii="Cambria Math" w:hAnsi="Cambria Math" w:cs="Tahoma"/>
                <w:i/>
                <w:lang w:eastAsia="en-GB"/>
              </w:rPr>
            </m:ctrlPr>
          </m:sSubPr>
          <m:e>
            <m:r>
              <m:rPr>
                <m:sty m:val="bi"/>
              </m:rPr>
              <w:rPr>
                <w:rFonts w:ascii="Cambria Math" w:hAnsi="Cambria Math" w:cs="Tahoma"/>
                <w:lang w:eastAsia="en-GB"/>
              </w:rPr>
              <m:t>γ</m:t>
            </m:r>
          </m:e>
          <m:sub>
            <m:r>
              <m:rPr>
                <m:sty m:val="bi"/>
              </m:rPr>
              <w:rPr>
                <w:rFonts w:ascii="Cambria Math" w:hAnsi="Cambria Math" w:cs="Tahoma"/>
                <w:lang w:eastAsia="en-GB"/>
              </w:rPr>
              <m:t>2</m:t>
            </m:r>
            <m:r>
              <m:rPr>
                <m:sty m:val="bi"/>
              </m:rPr>
              <w:rPr>
                <w:rFonts w:ascii="Cambria Math" w:hAnsi="Cambria Math" w:cs="Tahoma"/>
                <w:lang w:eastAsia="en-GB"/>
              </w:rPr>
              <m:t>,</m:t>
            </m:r>
            <m:r>
              <m:rPr>
                <m:sty m:val="bi"/>
              </m:rPr>
              <w:rPr>
                <w:rFonts w:ascii="Cambria Math" w:hAnsi="Cambria Math" w:cs="Tahoma"/>
                <w:lang w:eastAsia="en-GB"/>
              </w:rPr>
              <m:t>a</m:t>
            </m:r>
          </m:sub>
        </m:sSub>
      </m:oMath>
      <w:r w:rsidR="00470284" w:rsidRPr="00AD38B2">
        <w:t>,</w:t>
      </w:r>
      <w:r w:rsidR="00470284">
        <w:t xml:space="preserve"> parametro che </w:t>
      </w:r>
      <w:r w:rsidR="00D47746">
        <w:t xml:space="preserve">rappresenta il livello di efficacia delle attività di preparazione per il riutilizzo e il riciclo, anche tenuto conto della percentuale di frazioni estranee rilevata nella raccolta differenziata e della frazione effettivamente avviata a recupero. </w:t>
      </w:r>
    </w:p>
    <w:p w14:paraId="6ABE1962" w14:textId="01B85B39" w:rsidR="00D47746" w:rsidRPr="001C5FE7" w:rsidRDefault="00D47746" w:rsidP="00D47746">
      <w:pPr>
        <w:autoSpaceDE w:val="0"/>
        <w:autoSpaceDN w:val="0"/>
        <w:adjustRightInd w:val="0"/>
        <w:spacing w:before="0"/>
        <w:rPr>
          <w:rFonts w:asciiTheme="minorHAnsi" w:hAnsiTheme="minorHAnsi"/>
        </w:rPr>
      </w:pPr>
      <w:r w:rsidRPr="001C5FE7">
        <w:rPr>
          <w:rFonts w:asciiTheme="minorHAnsi" w:hAnsiTheme="minorHAnsi"/>
          <w:lang w:eastAsia="en-GB"/>
        </w:rPr>
        <w:t>I coefficienti</w:t>
      </w:r>
      <w:r>
        <w:rPr>
          <w:rFonts w:asciiTheme="minorHAnsi" w:hAnsiTheme="minorHAnsi"/>
          <w:lang w:eastAsia="en-GB"/>
        </w:rPr>
        <w:t xml:space="preserve"> </w:t>
      </w:r>
      <m:oMath>
        <m:sSub>
          <m:sSubPr>
            <m:ctrlPr>
              <w:rPr>
                <w:rFonts w:ascii="Cambria Math" w:hAnsi="Cambria Math" w:cs="Tahoma"/>
                <w:i/>
                <w:szCs w:val="20"/>
                <w:lang w:eastAsia="en-GB"/>
              </w:rPr>
            </m:ctrlPr>
          </m:sSubPr>
          <m:e>
            <m:r>
              <w:rPr>
                <w:rFonts w:ascii="Cambria Math" w:hAnsi="Cambria Math" w:cs="Tahoma"/>
                <w:szCs w:val="20"/>
                <w:lang w:eastAsia="en-GB"/>
              </w:rPr>
              <m:t>γ</m:t>
            </m:r>
          </m:e>
          <m:sub>
            <m:r>
              <w:rPr>
                <w:rFonts w:ascii="Cambria Math" w:hAnsi="Cambria Math" w:cs="Tahoma"/>
                <w:szCs w:val="20"/>
                <w:lang w:eastAsia="en-GB"/>
              </w:rPr>
              <m:t>1,a</m:t>
            </m:r>
          </m:sub>
        </m:sSub>
      </m:oMath>
      <w:r w:rsidRPr="00CB2C84">
        <w:t xml:space="preserve"> e </w:t>
      </w:r>
      <m:oMath>
        <m:sSub>
          <m:sSubPr>
            <m:ctrlPr>
              <w:rPr>
                <w:rFonts w:ascii="Cambria Math" w:hAnsi="Cambria Math" w:cs="Tahoma"/>
                <w:i/>
                <w:szCs w:val="20"/>
                <w:lang w:eastAsia="en-GB"/>
              </w:rPr>
            </m:ctrlPr>
          </m:sSubPr>
          <m:e>
            <m:r>
              <w:rPr>
                <w:rFonts w:ascii="Cambria Math" w:hAnsi="Cambria Math" w:cs="Tahoma"/>
                <w:szCs w:val="20"/>
                <w:lang w:eastAsia="en-GB"/>
              </w:rPr>
              <m:t>γ</m:t>
            </m:r>
          </m:e>
          <m:sub>
            <m:r>
              <w:rPr>
                <w:rFonts w:ascii="Cambria Math" w:hAnsi="Cambria Math" w:cs="Tahoma"/>
                <w:szCs w:val="20"/>
                <w:lang w:eastAsia="en-GB"/>
              </w:rPr>
              <m:t>2,a</m:t>
            </m:r>
          </m:sub>
        </m:sSub>
      </m:oMath>
      <w:r w:rsidR="00191E48" w:rsidRPr="00CB2C84">
        <w:rPr>
          <w:rFonts w:asciiTheme="minorHAnsi" w:hAnsiTheme="minorHAnsi"/>
        </w:rPr>
        <w:t>,</w:t>
      </w:r>
      <w:r w:rsidR="00191E48">
        <w:rPr>
          <w:rFonts w:asciiTheme="minorHAnsi" w:hAnsiTheme="minorHAnsi"/>
        </w:rPr>
        <w:t xml:space="preserve"> </w:t>
      </w:r>
      <w:r w:rsidRPr="001C5FE7">
        <w:rPr>
          <w:rFonts w:asciiTheme="minorHAnsi" w:hAnsiTheme="minorHAnsi"/>
        </w:rPr>
        <w:t>come previsto dall</w:t>
      </w:r>
      <w:r>
        <w:rPr>
          <w:rFonts w:asciiTheme="minorHAnsi" w:hAnsiTheme="minorHAnsi"/>
        </w:rPr>
        <w:t>’art.</w:t>
      </w:r>
      <w:r w:rsidR="00DB362D">
        <w:rPr>
          <w:rFonts w:asciiTheme="minorHAnsi" w:hAnsiTheme="minorHAnsi"/>
        </w:rPr>
        <w:t xml:space="preserve"> </w:t>
      </w:r>
      <w:r>
        <w:rPr>
          <w:rFonts w:asciiTheme="minorHAnsi" w:hAnsiTheme="minorHAnsi"/>
        </w:rPr>
        <w:t>3.1 del MTR-2</w:t>
      </w:r>
      <w:r w:rsidR="00DE483A">
        <w:rPr>
          <w:rFonts w:asciiTheme="minorHAnsi" w:hAnsiTheme="minorHAnsi"/>
        </w:rPr>
        <w:t xml:space="preserve"> aggiornato</w:t>
      </w:r>
      <w:r w:rsidRPr="001C5FE7">
        <w:rPr>
          <w:rFonts w:asciiTheme="minorHAnsi" w:hAnsiTheme="minorHAnsi"/>
        </w:rPr>
        <w:t>, possono assumere i seguenti valori</w:t>
      </w:r>
      <w:r>
        <w:rPr>
          <w:rFonts w:asciiTheme="minorHAnsi" w:hAnsiTheme="minorHAnsi"/>
        </w:rPr>
        <w:t xml:space="preserve">, in relazione al giudizio </w:t>
      </w:r>
      <w:r w:rsidR="00191E48">
        <w:rPr>
          <w:rFonts w:asciiTheme="minorHAnsi" w:hAnsiTheme="minorHAnsi"/>
        </w:rPr>
        <w:t>s</w:t>
      </w:r>
      <w:r>
        <w:rPr>
          <w:rFonts w:asciiTheme="minorHAnsi" w:hAnsiTheme="minorHAnsi"/>
        </w:rPr>
        <w:t>oddisfacente o insoddisfacente che l’Ente può attribuire</w:t>
      </w:r>
      <w:r w:rsidRPr="001C5FE7">
        <w:rPr>
          <w:rFonts w:asciiTheme="minorHAnsi" w:hAnsiTheme="minorHAnsi"/>
        </w:rPr>
        <w:t>:</w:t>
      </w:r>
    </w:p>
    <w:p w14:paraId="5B58CDA2" w14:textId="296DA178" w:rsidR="00D47746" w:rsidRPr="00EE02F0" w:rsidRDefault="00191E48" w:rsidP="00EE02F0">
      <w:pPr>
        <w:pStyle w:val="Didascalia"/>
        <w:spacing w:before="240" w:after="0" w:line="360" w:lineRule="auto"/>
        <w:ind w:left="357"/>
      </w:pPr>
      <w:r>
        <w:lastRenderedPageBreak/>
        <w:t xml:space="preserve">Tabella </w:t>
      </w:r>
      <w:r w:rsidR="003E1024">
        <w:fldChar w:fldCharType="begin"/>
      </w:r>
      <w:r w:rsidR="003E1024">
        <w:instrText xml:space="preserve"> SEQ Tabella \* ARABIC </w:instrText>
      </w:r>
      <w:r w:rsidR="003E1024">
        <w:fldChar w:fldCharType="separate"/>
      </w:r>
      <w:r w:rsidR="00DE483A">
        <w:rPr>
          <w:noProof/>
        </w:rPr>
        <w:t>44</w:t>
      </w:r>
      <w:r w:rsidR="003E1024">
        <w:rPr>
          <w:noProof/>
        </w:rPr>
        <w:fldChar w:fldCharType="end"/>
      </w:r>
      <w:r>
        <w:t xml:space="preserve"> </w:t>
      </w:r>
      <w:r w:rsidR="00D47746">
        <w:t xml:space="preserve">intervalli di valorizzazione dei coefficienti di qualità ambientale </w:t>
      </w:r>
    </w:p>
    <w:tbl>
      <w:tblPr>
        <w:tblStyle w:val="Tabellagriglia1chiara-colore1"/>
        <w:tblW w:w="9569" w:type="dxa"/>
        <w:tblLook w:val="04A0" w:firstRow="1" w:lastRow="0" w:firstColumn="1" w:lastColumn="0" w:noHBand="0" w:noVBand="1"/>
      </w:tblPr>
      <w:tblGrid>
        <w:gridCol w:w="1276"/>
        <w:gridCol w:w="4106"/>
        <w:gridCol w:w="2093"/>
        <w:gridCol w:w="2094"/>
      </w:tblGrid>
      <w:tr w:rsidR="00787D8D" w:rsidRPr="003F69A6" w14:paraId="3279C307" w14:textId="77777777" w:rsidTr="00787D8D">
        <w:trPr>
          <w:cnfStyle w:val="100000000000" w:firstRow="1" w:lastRow="0" w:firstColumn="0" w:lastColumn="0" w:oddVBand="0" w:evenVBand="0" w:oddHBand="0" w:evenHBand="0" w:firstRowFirstColumn="0" w:firstRowLastColumn="0" w:lastRowFirstColumn="0" w:lastRowLastColumn="0"/>
          <w:trHeight w:val="680"/>
          <w:tblHeader/>
        </w:trPr>
        <w:tc>
          <w:tcPr>
            <w:cnfStyle w:val="001000000000" w:firstRow="0" w:lastRow="0" w:firstColumn="1" w:lastColumn="0" w:oddVBand="0" w:evenVBand="0" w:oddHBand="0" w:evenHBand="0" w:firstRowFirstColumn="0" w:firstRowLastColumn="0" w:lastRowFirstColumn="0" w:lastRowLastColumn="0"/>
            <w:tcW w:w="1276" w:type="dxa"/>
            <w:vAlign w:val="center"/>
          </w:tcPr>
          <w:p w14:paraId="78D59F62" w14:textId="77777777" w:rsidR="00D47746" w:rsidRPr="003F69A6" w:rsidRDefault="00D47746" w:rsidP="00761F3F">
            <w:pPr>
              <w:autoSpaceDE w:val="0"/>
              <w:autoSpaceDN w:val="0"/>
              <w:adjustRightInd w:val="0"/>
              <w:spacing w:before="0"/>
              <w:jc w:val="center"/>
              <w:rPr>
                <w:rFonts w:ascii="Tahoma" w:hAnsi="Tahoma" w:cs="Tahoma"/>
                <w:sz w:val="16"/>
                <w:szCs w:val="16"/>
                <w:lang w:eastAsia="en-GB"/>
              </w:rPr>
            </w:pPr>
            <w:r w:rsidRPr="003F69A6">
              <w:rPr>
                <w:rFonts w:ascii="Tahoma" w:hAnsi="Tahoma" w:cs="Tahoma"/>
                <w:sz w:val="16"/>
                <w:szCs w:val="16"/>
                <w:lang w:eastAsia="en-GB"/>
              </w:rPr>
              <w:t>Coefficiente</w:t>
            </w:r>
          </w:p>
        </w:tc>
        <w:tc>
          <w:tcPr>
            <w:tcW w:w="4106" w:type="dxa"/>
            <w:vAlign w:val="center"/>
          </w:tcPr>
          <w:p w14:paraId="36506325" w14:textId="77777777" w:rsidR="00D47746" w:rsidRPr="003F69A6" w:rsidRDefault="00D47746" w:rsidP="00761F3F">
            <w:pPr>
              <w:autoSpaceDE w:val="0"/>
              <w:autoSpaceDN w:val="0"/>
              <w:adjustRightInd w:val="0"/>
              <w:spacing w:befor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Descrizione</w:t>
            </w:r>
          </w:p>
        </w:tc>
        <w:tc>
          <w:tcPr>
            <w:tcW w:w="2093" w:type="dxa"/>
            <w:vAlign w:val="center"/>
          </w:tcPr>
          <w:p w14:paraId="44F855B0" w14:textId="77777777" w:rsidR="00D47746" w:rsidRPr="003F69A6" w:rsidRDefault="00D47746" w:rsidP="00761F3F">
            <w:pPr>
              <w:autoSpaceDE w:val="0"/>
              <w:autoSpaceDN w:val="0"/>
              <w:adjustRightInd w:val="0"/>
              <w:spacing w:befor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Giudizio SODDISFACENTE</w:t>
            </w:r>
          </w:p>
        </w:tc>
        <w:tc>
          <w:tcPr>
            <w:tcW w:w="2094" w:type="dxa"/>
            <w:vAlign w:val="center"/>
          </w:tcPr>
          <w:p w14:paraId="4761C4AF" w14:textId="77777777" w:rsidR="00787D8D" w:rsidRDefault="00D47746" w:rsidP="00761F3F">
            <w:pPr>
              <w:autoSpaceDE w:val="0"/>
              <w:autoSpaceDN w:val="0"/>
              <w:adjustRightInd w:val="0"/>
              <w:spacing w:before="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16"/>
                <w:szCs w:val="16"/>
                <w:lang w:eastAsia="en-GB"/>
              </w:rPr>
            </w:pPr>
            <w:r w:rsidRPr="003F69A6">
              <w:rPr>
                <w:rFonts w:ascii="Tahoma" w:hAnsi="Tahoma" w:cs="Tahoma"/>
                <w:sz w:val="16"/>
                <w:szCs w:val="16"/>
                <w:lang w:eastAsia="en-GB"/>
              </w:rPr>
              <w:t xml:space="preserve">Giudizio </w:t>
            </w:r>
          </w:p>
          <w:p w14:paraId="05FC1336" w14:textId="2A1E4B6A" w:rsidR="00D47746" w:rsidRPr="003F69A6" w:rsidRDefault="00787D8D" w:rsidP="00761F3F">
            <w:pPr>
              <w:autoSpaceDE w:val="0"/>
              <w:autoSpaceDN w:val="0"/>
              <w:adjustRightInd w:val="0"/>
              <w:spacing w:befor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Pr>
                <w:rFonts w:ascii="Tahoma" w:hAnsi="Tahoma" w:cs="Tahoma"/>
                <w:sz w:val="16"/>
                <w:szCs w:val="16"/>
                <w:lang w:eastAsia="en-GB"/>
              </w:rPr>
              <w:t>NON S</w:t>
            </w:r>
            <w:r w:rsidR="00D47746" w:rsidRPr="003F69A6">
              <w:rPr>
                <w:rFonts w:ascii="Tahoma" w:hAnsi="Tahoma" w:cs="Tahoma"/>
                <w:sz w:val="16"/>
                <w:szCs w:val="16"/>
                <w:lang w:eastAsia="en-GB"/>
              </w:rPr>
              <w:t>ODDISFACENTE</w:t>
            </w:r>
          </w:p>
        </w:tc>
      </w:tr>
      <w:tr w:rsidR="00D47746" w:rsidRPr="003F69A6" w14:paraId="05669D16" w14:textId="77777777" w:rsidTr="009D18BA">
        <w:trPr>
          <w:trHeight w:val="489"/>
        </w:trPr>
        <w:tc>
          <w:tcPr>
            <w:cnfStyle w:val="001000000000" w:firstRow="0" w:lastRow="0" w:firstColumn="1" w:lastColumn="0" w:oddVBand="0" w:evenVBand="0" w:oddHBand="0" w:evenHBand="0" w:firstRowFirstColumn="0" w:firstRowLastColumn="0" w:lastRowFirstColumn="0" w:lastRowLastColumn="0"/>
            <w:tcW w:w="1276" w:type="dxa"/>
            <w:vAlign w:val="center"/>
          </w:tcPr>
          <w:p w14:paraId="043BB72B" w14:textId="0C666791" w:rsidR="00D47746" w:rsidRPr="003F69A6" w:rsidRDefault="000E440F" w:rsidP="00761F3F">
            <w:pPr>
              <w:autoSpaceDE w:val="0"/>
              <w:autoSpaceDN w:val="0"/>
              <w:adjustRightInd w:val="0"/>
              <w:spacing w:before="0"/>
              <w:jc w:val="center"/>
              <w:rPr>
                <w:rFonts w:ascii="Tahoma" w:hAnsi="Tahoma" w:cs="Tahoma"/>
                <w:i/>
                <w:sz w:val="16"/>
                <w:szCs w:val="16"/>
                <w:lang w:eastAsia="en-GB"/>
              </w:rPr>
            </w:pPr>
            <m:oMathPara>
              <m:oMath>
                <m:sSub>
                  <m:sSubPr>
                    <m:ctrlPr>
                      <w:rPr>
                        <w:rFonts w:ascii="Cambria Math" w:hAnsi="Cambria Math" w:cs="Tahoma"/>
                        <w:i/>
                        <w:sz w:val="16"/>
                        <w:szCs w:val="16"/>
                        <w:lang w:eastAsia="en-GB"/>
                      </w:rPr>
                    </m:ctrlPr>
                  </m:sSubPr>
                  <m:e>
                    <m:r>
                      <m:rPr>
                        <m:sty m:val="bi"/>
                      </m:rPr>
                      <w:rPr>
                        <w:rFonts w:ascii="Cambria Math" w:hAnsi="Cambria Math" w:cs="Tahoma"/>
                        <w:sz w:val="16"/>
                        <w:szCs w:val="16"/>
                        <w:lang w:eastAsia="en-GB"/>
                      </w:rPr>
                      <m:t>γ</m:t>
                    </m:r>
                  </m:e>
                  <m:sub>
                    <m:r>
                      <m:rPr>
                        <m:sty m:val="bi"/>
                      </m:rPr>
                      <w:rPr>
                        <w:rFonts w:ascii="Cambria Math" w:hAnsi="Cambria Math" w:cs="Tahoma"/>
                        <w:sz w:val="16"/>
                        <w:szCs w:val="16"/>
                        <w:lang w:eastAsia="en-GB"/>
                      </w:rPr>
                      <m:t>1</m:t>
                    </m:r>
                    <m:r>
                      <m:rPr>
                        <m:sty m:val="bi"/>
                      </m:rPr>
                      <w:rPr>
                        <w:rFonts w:ascii="Cambria Math" w:hAnsi="Cambria Math" w:cs="Tahoma"/>
                        <w:sz w:val="16"/>
                        <w:szCs w:val="16"/>
                        <w:lang w:eastAsia="en-GB"/>
                      </w:rPr>
                      <m:t>,</m:t>
                    </m:r>
                    <m:r>
                      <m:rPr>
                        <m:sty m:val="bi"/>
                      </m:rPr>
                      <w:rPr>
                        <w:rFonts w:ascii="Cambria Math" w:hAnsi="Cambria Math" w:cs="Tahoma"/>
                        <w:sz w:val="16"/>
                        <w:szCs w:val="16"/>
                        <w:lang w:eastAsia="en-GB"/>
                      </w:rPr>
                      <m:t>a</m:t>
                    </m:r>
                  </m:sub>
                </m:sSub>
              </m:oMath>
            </m:oMathPara>
          </w:p>
        </w:tc>
        <w:tc>
          <w:tcPr>
            <w:tcW w:w="4106" w:type="dxa"/>
            <w:vAlign w:val="center"/>
          </w:tcPr>
          <w:p w14:paraId="01EE9503" w14:textId="77777777" w:rsidR="00D47746" w:rsidRPr="003F69A6" w:rsidRDefault="00D47746" w:rsidP="00761F3F">
            <w:pPr>
              <w:autoSpaceDE w:val="0"/>
              <w:autoSpaceDN w:val="0"/>
              <w:adjustRightInd w:val="0"/>
              <w:spacing w:before="0"/>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Valutazione rispetto agli obiettivi di raccolta differenziata</w:t>
            </w:r>
          </w:p>
        </w:tc>
        <w:tc>
          <w:tcPr>
            <w:tcW w:w="2093" w:type="dxa"/>
            <w:shd w:val="clear" w:color="auto" w:fill="FFC000"/>
            <w:vAlign w:val="center"/>
          </w:tcPr>
          <w:p w14:paraId="38D743E5" w14:textId="2B048FD1" w:rsidR="00D47746" w:rsidRPr="003F69A6" w:rsidRDefault="00D47746" w:rsidP="00761F3F">
            <w:pPr>
              <w:autoSpaceDE w:val="0"/>
              <w:autoSpaceDN w:val="0"/>
              <w:adjustRightInd w:val="0"/>
              <w:spacing w:befor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[-0,</w:t>
            </w:r>
            <w:proofErr w:type="gramStart"/>
            <w:r w:rsidRPr="003F69A6">
              <w:rPr>
                <w:rFonts w:ascii="Tahoma" w:hAnsi="Tahoma" w:cs="Tahoma"/>
                <w:sz w:val="16"/>
                <w:szCs w:val="16"/>
                <w:lang w:eastAsia="en-GB"/>
              </w:rPr>
              <w:t xml:space="preserve">2 </w:t>
            </w:r>
            <w:r w:rsidR="00DE3BFE">
              <w:rPr>
                <w:rFonts w:ascii="Tahoma" w:hAnsi="Tahoma" w:cs="Tahoma"/>
                <w:sz w:val="16"/>
                <w:szCs w:val="16"/>
                <w:lang w:eastAsia="en-GB"/>
              </w:rPr>
              <w:t>;</w:t>
            </w:r>
            <w:proofErr w:type="gramEnd"/>
            <w:r w:rsidRPr="003F69A6">
              <w:rPr>
                <w:rFonts w:ascii="Tahoma" w:hAnsi="Tahoma" w:cs="Tahoma"/>
                <w:sz w:val="16"/>
                <w:szCs w:val="16"/>
                <w:lang w:eastAsia="en-GB"/>
              </w:rPr>
              <w:t xml:space="preserve"> 0]</w:t>
            </w:r>
          </w:p>
        </w:tc>
        <w:tc>
          <w:tcPr>
            <w:tcW w:w="2094" w:type="dxa"/>
            <w:vAlign w:val="center"/>
          </w:tcPr>
          <w:p w14:paraId="35547DB0" w14:textId="77777777" w:rsidR="00D47746" w:rsidRPr="003F69A6" w:rsidRDefault="00D47746" w:rsidP="00761F3F">
            <w:pPr>
              <w:autoSpaceDE w:val="0"/>
              <w:autoSpaceDN w:val="0"/>
              <w:adjustRightInd w:val="0"/>
              <w:spacing w:befor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[-0,</w:t>
            </w:r>
            <w:proofErr w:type="gramStart"/>
            <w:r w:rsidRPr="003F69A6">
              <w:rPr>
                <w:rFonts w:ascii="Tahoma" w:hAnsi="Tahoma" w:cs="Tahoma"/>
                <w:sz w:val="16"/>
                <w:szCs w:val="16"/>
                <w:lang w:eastAsia="en-GB"/>
              </w:rPr>
              <w:t>4 ;</w:t>
            </w:r>
            <w:proofErr w:type="gramEnd"/>
            <w:r w:rsidRPr="003F69A6">
              <w:rPr>
                <w:rFonts w:ascii="Tahoma" w:hAnsi="Tahoma" w:cs="Tahoma"/>
                <w:sz w:val="16"/>
                <w:szCs w:val="16"/>
                <w:lang w:eastAsia="en-GB"/>
              </w:rPr>
              <w:t xml:space="preserve"> -0,2]</w:t>
            </w:r>
          </w:p>
        </w:tc>
      </w:tr>
      <w:tr w:rsidR="00D47746" w:rsidRPr="003F69A6" w14:paraId="68D0EE58" w14:textId="77777777" w:rsidTr="009D18BA">
        <w:trPr>
          <w:trHeight w:val="513"/>
        </w:trPr>
        <w:tc>
          <w:tcPr>
            <w:cnfStyle w:val="001000000000" w:firstRow="0" w:lastRow="0" w:firstColumn="1" w:lastColumn="0" w:oddVBand="0" w:evenVBand="0" w:oddHBand="0" w:evenHBand="0" w:firstRowFirstColumn="0" w:firstRowLastColumn="0" w:lastRowFirstColumn="0" w:lastRowLastColumn="0"/>
            <w:tcW w:w="1276" w:type="dxa"/>
            <w:vAlign w:val="center"/>
          </w:tcPr>
          <w:p w14:paraId="4CA507CB" w14:textId="5070C5FD" w:rsidR="00D47746" w:rsidRPr="003F69A6" w:rsidRDefault="000E440F" w:rsidP="00761F3F">
            <w:pPr>
              <w:autoSpaceDE w:val="0"/>
              <w:autoSpaceDN w:val="0"/>
              <w:adjustRightInd w:val="0"/>
              <w:spacing w:before="0"/>
              <w:jc w:val="center"/>
              <w:rPr>
                <w:rFonts w:ascii="Tahoma" w:hAnsi="Tahoma" w:cs="Tahoma"/>
                <w:i/>
                <w:sz w:val="16"/>
                <w:szCs w:val="16"/>
                <w:lang w:eastAsia="en-GB"/>
              </w:rPr>
            </w:pPr>
            <m:oMathPara>
              <m:oMath>
                <m:sSub>
                  <m:sSubPr>
                    <m:ctrlPr>
                      <w:rPr>
                        <w:rFonts w:ascii="Cambria Math" w:hAnsi="Cambria Math" w:cs="Tahoma"/>
                        <w:i/>
                        <w:sz w:val="16"/>
                        <w:szCs w:val="16"/>
                        <w:lang w:eastAsia="en-GB"/>
                      </w:rPr>
                    </m:ctrlPr>
                  </m:sSubPr>
                  <m:e>
                    <m:r>
                      <m:rPr>
                        <m:sty m:val="bi"/>
                      </m:rPr>
                      <w:rPr>
                        <w:rFonts w:ascii="Cambria Math" w:hAnsi="Cambria Math" w:cs="Tahoma"/>
                        <w:sz w:val="16"/>
                        <w:szCs w:val="16"/>
                        <w:lang w:eastAsia="en-GB"/>
                      </w:rPr>
                      <m:t>γ</m:t>
                    </m:r>
                  </m:e>
                  <m:sub>
                    <m:r>
                      <m:rPr>
                        <m:sty m:val="bi"/>
                      </m:rPr>
                      <w:rPr>
                        <w:rFonts w:ascii="Cambria Math" w:hAnsi="Cambria Math" w:cs="Tahoma"/>
                        <w:sz w:val="16"/>
                        <w:szCs w:val="16"/>
                        <w:lang w:eastAsia="en-GB"/>
                      </w:rPr>
                      <m:t>2</m:t>
                    </m:r>
                    <m:r>
                      <m:rPr>
                        <m:sty m:val="bi"/>
                      </m:rPr>
                      <w:rPr>
                        <w:rFonts w:ascii="Cambria Math" w:hAnsi="Cambria Math" w:cs="Tahoma"/>
                        <w:sz w:val="16"/>
                        <w:szCs w:val="16"/>
                        <w:lang w:eastAsia="en-GB"/>
                      </w:rPr>
                      <m:t>,</m:t>
                    </m:r>
                    <m:r>
                      <m:rPr>
                        <m:sty m:val="bi"/>
                      </m:rPr>
                      <w:rPr>
                        <w:rFonts w:ascii="Cambria Math" w:hAnsi="Cambria Math" w:cs="Tahoma"/>
                        <w:sz w:val="16"/>
                        <w:szCs w:val="16"/>
                        <w:lang w:eastAsia="en-GB"/>
                      </w:rPr>
                      <m:t>a</m:t>
                    </m:r>
                  </m:sub>
                </m:sSub>
              </m:oMath>
            </m:oMathPara>
          </w:p>
        </w:tc>
        <w:tc>
          <w:tcPr>
            <w:tcW w:w="4106" w:type="dxa"/>
            <w:vAlign w:val="center"/>
          </w:tcPr>
          <w:p w14:paraId="7228D66D" w14:textId="77777777" w:rsidR="00D47746" w:rsidRPr="003F69A6" w:rsidRDefault="00D47746" w:rsidP="00761F3F">
            <w:pPr>
              <w:autoSpaceDE w:val="0"/>
              <w:autoSpaceDN w:val="0"/>
              <w:adjustRightInd w:val="0"/>
              <w:spacing w:before="0"/>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Valutazione rispetto all' efficacia dell'attività di preparazione per il riutilizzo e riciclo</w:t>
            </w:r>
          </w:p>
        </w:tc>
        <w:tc>
          <w:tcPr>
            <w:tcW w:w="2093" w:type="dxa"/>
            <w:shd w:val="clear" w:color="auto" w:fill="FFC000"/>
            <w:vAlign w:val="center"/>
          </w:tcPr>
          <w:p w14:paraId="23B71214" w14:textId="77777777" w:rsidR="00D47746" w:rsidRPr="003F69A6" w:rsidRDefault="00D47746" w:rsidP="00761F3F">
            <w:pPr>
              <w:autoSpaceDE w:val="0"/>
              <w:autoSpaceDN w:val="0"/>
              <w:adjustRightInd w:val="0"/>
              <w:spacing w:befor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[-0,</w:t>
            </w:r>
            <w:proofErr w:type="gramStart"/>
            <w:r w:rsidRPr="003F69A6">
              <w:rPr>
                <w:rFonts w:ascii="Tahoma" w:hAnsi="Tahoma" w:cs="Tahoma"/>
                <w:sz w:val="16"/>
                <w:szCs w:val="16"/>
                <w:lang w:eastAsia="en-GB"/>
              </w:rPr>
              <w:t>15 ;</w:t>
            </w:r>
            <w:proofErr w:type="gramEnd"/>
            <w:r w:rsidRPr="003F69A6">
              <w:rPr>
                <w:rFonts w:ascii="Tahoma" w:hAnsi="Tahoma" w:cs="Tahoma"/>
                <w:sz w:val="16"/>
                <w:szCs w:val="16"/>
                <w:lang w:eastAsia="en-GB"/>
              </w:rPr>
              <w:t xml:space="preserve"> 0]</w:t>
            </w:r>
          </w:p>
        </w:tc>
        <w:tc>
          <w:tcPr>
            <w:tcW w:w="2094" w:type="dxa"/>
            <w:vAlign w:val="center"/>
          </w:tcPr>
          <w:p w14:paraId="413D541F" w14:textId="77777777" w:rsidR="00D47746" w:rsidRPr="003F69A6" w:rsidRDefault="00D47746" w:rsidP="00761F3F">
            <w:pPr>
              <w:autoSpaceDE w:val="0"/>
              <w:autoSpaceDN w:val="0"/>
              <w:adjustRightInd w:val="0"/>
              <w:spacing w:befor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[-0,</w:t>
            </w:r>
            <w:proofErr w:type="gramStart"/>
            <w:r w:rsidRPr="003F69A6">
              <w:rPr>
                <w:rFonts w:ascii="Tahoma" w:hAnsi="Tahoma" w:cs="Tahoma"/>
                <w:sz w:val="16"/>
                <w:szCs w:val="16"/>
                <w:lang w:eastAsia="en-GB"/>
              </w:rPr>
              <w:t>3 ;</w:t>
            </w:r>
            <w:proofErr w:type="gramEnd"/>
            <w:r w:rsidRPr="003F69A6">
              <w:rPr>
                <w:rFonts w:ascii="Tahoma" w:hAnsi="Tahoma" w:cs="Tahoma"/>
                <w:sz w:val="16"/>
                <w:szCs w:val="16"/>
                <w:lang w:eastAsia="en-GB"/>
              </w:rPr>
              <w:t xml:space="preserve"> -0,15]</w:t>
            </w:r>
          </w:p>
        </w:tc>
      </w:tr>
    </w:tbl>
    <w:p w14:paraId="325491F1" w14:textId="4A507530" w:rsidR="00D47746" w:rsidRDefault="00D47746" w:rsidP="00D47746">
      <w:pPr>
        <w:autoSpaceDE w:val="0"/>
        <w:autoSpaceDN w:val="0"/>
        <w:adjustRightInd w:val="0"/>
        <w:spacing w:after="120"/>
        <w:rPr>
          <w:rFonts w:asciiTheme="minorHAnsi" w:hAnsiTheme="minorHAnsi"/>
        </w:rPr>
      </w:pPr>
      <w:r w:rsidRPr="00B045A8">
        <w:rPr>
          <w:rFonts w:asciiTheme="minorHAnsi" w:hAnsiTheme="minorHAnsi"/>
          <w:lang w:eastAsia="en-GB"/>
        </w:rPr>
        <w:t>Alla luce degli obiettivi percentuali di raccolta differenziata, di efficacia dell’attività di preparazione per il riutilizzo e il riciclo e di soddisfazione degli utenti del servizio</w:t>
      </w:r>
      <w:r>
        <w:rPr>
          <w:rFonts w:asciiTheme="minorHAnsi" w:hAnsiTheme="minorHAnsi"/>
          <w:lang w:eastAsia="en-GB"/>
        </w:rPr>
        <w:t xml:space="preserve">, </w:t>
      </w:r>
      <w:r w:rsidRPr="00B045A8">
        <w:rPr>
          <w:rFonts w:asciiTheme="minorHAnsi" w:hAnsiTheme="minorHAnsi"/>
          <w:lang w:eastAsia="en-GB"/>
        </w:rPr>
        <w:t>l’</w:t>
      </w:r>
      <w:r w:rsidR="00761F3F">
        <w:rPr>
          <w:rFonts w:asciiTheme="minorHAnsi" w:hAnsiTheme="minorHAnsi"/>
          <w:lang w:eastAsia="en-GB"/>
        </w:rPr>
        <w:t>E</w:t>
      </w:r>
      <w:r w:rsidRPr="00B045A8">
        <w:rPr>
          <w:rFonts w:asciiTheme="minorHAnsi" w:hAnsiTheme="minorHAnsi"/>
          <w:lang w:eastAsia="en-GB"/>
        </w:rPr>
        <w:t xml:space="preserve">nte scrivente ha </w:t>
      </w:r>
      <w:r w:rsidR="00787D8D">
        <w:rPr>
          <w:rFonts w:asciiTheme="minorHAnsi" w:hAnsiTheme="minorHAnsi"/>
          <w:lang w:eastAsia="en-GB"/>
        </w:rPr>
        <w:t xml:space="preserve">attribuito il giudizio di soddisfazione così come </w:t>
      </w:r>
      <w:r w:rsidR="00787D8D">
        <w:rPr>
          <w:iCs/>
        </w:rPr>
        <w:t xml:space="preserve">riscontrabile nel </w:t>
      </w:r>
      <w:r w:rsidR="00787D8D" w:rsidRPr="00787D8D">
        <w:rPr>
          <w:i/>
        </w:rPr>
        <w:t>Tool</w:t>
      </w:r>
      <w:r w:rsidR="00787D8D">
        <w:rPr>
          <w:iCs/>
        </w:rPr>
        <w:t xml:space="preserve"> di calcolo allegato alla presente relazione e ha di conseguenza </w:t>
      </w:r>
      <w:r w:rsidRPr="00B045A8">
        <w:rPr>
          <w:rFonts w:asciiTheme="minorHAnsi" w:hAnsiTheme="minorHAnsi"/>
          <w:lang w:eastAsia="en-GB"/>
        </w:rPr>
        <w:t xml:space="preserve">valorizzato i coefficienti di gradualità così come </w:t>
      </w:r>
      <w:r w:rsidRPr="00B045A8">
        <w:rPr>
          <w:rFonts w:asciiTheme="minorHAnsi" w:hAnsiTheme="minorHAnsi"/>
        </w:rPr>
        <w:t>rappresentato nel PEF allegato</w:t>
      </w:r>
      <w:r w:rsidR="00B51E0F">
        <w:rPr>
          <w:rFonts w:asciiTheme="minorHAnsi" w:hAnsiTheme="minorHAnsi"/>
        </w:rPr>
        <w:t>.</w:t>
      </w:r>
    </w:p>
    <w:p w14:paraId="46DAEBFF" w14:textId="180908CF" w:rsidR="00DE3BFE" w:rsidRDefault="00DE3BFE" w:rsidP="00D47746">
      <w:pPr>
        <w:autoSpaceDE w:val="0"/>
        <w:autoSpaceDN w:val="0"/>
        <w:adjustRightInd w:val="0"/>
        <w:spacing w:after="120"/>
        <w:rPr>
          <w:iCs/>
        </w:rPr>
      </w:pPr>
      <w:r>
        <w:rPr>
          <w:lang w:eastAsia="en-GB"/>
        </w:rPr>
        <w:t xml:space="preserve">In tale valorizzazione, in particolare ai fini della valutazione del parametro </w:t>
      </w:r>
      <m:oMath>
        <m:sSub>
          <m:sSubPr>
            <m:ctrlPr>
              <w:rPr>
                <w:rFonts w:ascii="Cambria Math" w:hAnsi="Cambria Math" w:cs="Tahoma"/>
                <w:i/>
                <w:szCs w:val="20"/>
                <w:lang w:eastAsia="en-GB"/>
              </w:rPr>
            </m:ctrlPr>
          </m:sSubPr>
          <m:e>
            <m:r>
              <w:rPr>
                <w:rFonts w:ascii="Cambria Math" w:hAnsi="Cambria Math" w:cs="Tahoma"/>
                <w:szCs w:val="20"/>
                <w:lang w:eastAsia="en-GB"/>
              </w:rPr>
              <m:t>γ</m:t>
            </m:r>
          </m:e>
          <m:sub>
            <m:r>
              <w:rPr>
                <w:rFonts w:ascii="Cambria Math" w:hAnsi="Cambria Math" w:cs="Tahoma"/>
                <w:szCs w:val="20"/>
                <w:lang w:eastAsia="en-GB"/>
              </w:rPr>
              <m:t>2,a</m:t>
            </m:r>
          </m:sub>
        </m:sSub>
      </m:oMath>
      <w:r>
        <w:rPr>
          <w:rFonts w:asciiTheme="minorHAnsi" w:hAnsiTheme="minorHAnsi"/>
        </w:rPr>
        <w:t>, l’Ente ha applicato quanto previsto dall’art. 3.1bis del MTR-2 aggiornato con riferimento al</w:t>
      </w:r>
      <w:r w:rsidR="00787D8D">
        <w:rPr>
          <w:rFonts w:asciiTheme="minorHAnsi" w:hAnsiTheme="minorHAnsi"/>
        </w:rPr>
        <w:t>la valorizzazione del</w:t>
      </w:r>
      <w:r>
        <w:rPr>
          <w:rFonts w:asciiTheme="minorHAnsi" w:hAnsiTheme="minorHAnsi"/>
        </w:rPr>
        <w:t xml:space="preserve"> </w:t>
      </w:r>
      <w:r>
        <w:rPr>
          <w:iCs/>
        </w:rPr>
        <w:t xml:space="preserve">macro-indicatore R1 ovvero alla </w:t>
      </w:r>
      <w:r w:rsidRPr="00DE3BFE">
        <w:rPr>
          <w:iCs/>
        </w:rPr>
        <w:t>“Efficacia dell’avvio a riciclaggio delle frazioni soggette agli obblighi di responsabilità estesa del produttore” di cui all’articolo 6 dell’Allegato A alla deliberazione 387/2023/R/RIF, calcolato sulla base dei dati del 2022</w:t>
      </w:r>
      <w:r>
        <w:rPr>
          <w:iCs/>
        </w:rPr>
        <w:t xml:space="preserve"> </w:t>
      </w:r>
      <w:r w:rsidR="00787D8D">
        <w:rPr>
          <w:iCs/>
        </w:rPr>
        <w:t xml:space="preserve">così </w:t>
      </w:r>
      <w:r>
        <w:rPr>
          <w:iCs/>
        </w:rPr>
        <w:t xml:space="preserve">come rappresentato nel </w:t>
      </w:r>
      <w:r w:rsidRPr="00DE3BFE">
        <w:rPr>
          <w:i/>
        </w:rPr>
        <w:t>Tool</w:t>
      </w:r>
      <w:r>
        <w:rPr>
          <w:iCs/>
        </w:rPr>
        <w:t xml:space="preserve"> di calcolo.</w:t>
      </w:r>
    </w:p>
    <w:p w14:paraId="6189D2F1" w14:textId="6E286C96" w:rsidR="00D47746" w:rsidRPr="009D18BA" w:rsidRDefault="00191E48" w:rsidP="00EE02F0">
      <w:pPr>
        <w:pStyle w:val="Didascalia"/>
        <w:spacing w:before="240" w:after="0" w:line="360" w:lineRule="auto"/>
        <w:ind w:left="357"/>
      </w:pPr>
      <w:r w:rsidRPr="009D18BA">
        <w:t xml:space="preserve">Tabella </w:t>
      </w:r>
      <w:r w:rsidR="003E1024" w:rsidRPr="009D18BA">
        <w:fldChar w:fldCharType="begin"/>
      </w:r>
      <w:r w:rsidR="003E1024" w:rsidRPr="009D18BA">
        <w:instrText xml:space="preserve"> SEQ Tabella \* ARABIC </w:instrText>
      </w:r>
      <w:r w:rsidR="003E1024" w:rsidRPr="009D18BA">
        <w:fldChar w:fldCharType="separate"/>
      </w:r>
      <w:r w:rsidR="00787D8D" w:rsidRPr="009D18BA">
        <w:rPr>
          <w:noProof/>
        </w:rPr>
        <w:t>45</w:t>
      </w:r>
      <w:r w:rsidR="003E1024" w:rsidRPr="009D18BA">
        <w:rPr>
          <w:noProof/>
        </w:rPr>
        <w:fldChar w:fldCharType="end"/>
      </w:r>
      <w:r w:rsidRPr="009D18BA">
        <w:t xml:space="preserve"> </w:t>
      </w:r>
      <w:r w:rsidR="00D47746" w:rsidRPr="009D18BA">
        <w:t xml:space="preserve">Valorizzazione dei coefficienti di qualità ambientale </w:t>
      </w:r>
    </w:p>
    <w:tbl>
      <w:tblPr>
        <w:tblStyle w:val="Tabellagriglia1chiara-colore1"/>
        <w:tblW w:w="4953" w:type="pct"/>
        <w:tblLook w:val="04A0" w:firstRow="1" w:lastRow="0" w:firstColumn="1" w:lastColumn="0" w:noHBand="0" w:noVBand="1"/>
      </w:tblPr>
      <w:tblGrid>
        <w:gridCol w:w="1401"/>
        <w:gridCol w:w="5256"/>
        <w:gridCol w:w="1440"/>
        <w:gridCol w:w="1440"/>
      </w:tblGrid>
      <w:tr w:rsidR="00DE3BFE" w:rsidRPr="009D18BA" w14:paraId="4B893EA3" w14:textId="77777777" w:rsidTr="00DE3BFE">
        <w:trPr>
          <w:cnfStyle w:val="100000000000" w:firstRow="1" w:lastRow="0" w:firstColumn="0" w:lastColumn="0" w:oddVBand="0" w:evenVBand="0" w:oddHBand="0" w:evenHBand="0"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813" w:type="pct"/>
            <w:vAlign w:val="center"/>
          </w:tcPr>
          <w:p w14:paraId="7F6E43C9" w14:textId="77777777" w:rsidR="00DE3BFE" w:rsidRPr="009D18BA" w:rsidRDefault="00DE3BFE" w:rsidP="00761F3F">
            <w:pPr>
              <w:autoSpaceDE w:val="0"/>
              <w:autoSpaceDN w:val="0"/>
              <w:adjustRightInd w:val="0"/>
              <w:spacing w:before="0"/>
              <w:jc w:val="center"/>
              <w:rPr>
                <w:rFonts w:ascii="Tahoma" w:hAnsi="Tahoma" w:cs="Tahoma"/>
                <w:sz w:val="16"/>
                <w:szCs w:val="16"/>
                <w:lang w:eastAsia="en-GB"/>
              </w:rPr>
            </w:pPr>
            <w:r w:rsidRPr="009D18BA">
              <w:rPr>
                <w:rFonts w:ascii="Tahoma" w:hAnsi="Tahoma" w:cs="Tahoma"/>
                <w:sz w:val="16"/>
                <w:szCs w:val="16"/>
                <w:lang w:eastAsia="en-GB"/>
              </w:rPr>
              <w:t>Coefficiente</w:t>
            </w:r>
          </w:p>
        </w:tc>
        <w:tc>
          <w:tcPr>
            <w:tcW w:w="2834" w:type="pct"/>
            <w:vAlign w:val="center"/>
          </w:tcPr>
          <w:p w14:paraId="442B66DD" w14:textId="77777777" w:rsidR="00DE3BFE" w:rsidRPr="009D18BA" w:rsidRDefault="00DE3BFE" w:rsidP="00761F3F">
            <w:pPr>
              <w:autoSpaceDE w:val="0"/>
              <w:autoSpaceDN w:val="0"/>
              <w:adjustRightInd w:val="0"/>
              <w:spacing w:befor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9D18BA">
              <w:rPr>
                <w:rFonts w:ascii="Tahoma" w:hAnsi="Tahoma" w:cs="Tahoma"/>
                <w:sz w:val="16"/>
                <w:szCs w:val="16"/>
                <w:lang w:eastAsia="en-GB"/>
              </w:rPr>
              <w:t>Descrizione</w:t>
            </w:r>
          </w:p>
        </w:tc>
        <w:tc>
          <w:tcPr>
            <w:tcW w:w="681" w:type="pct"/>
            <w:vAlign w:val="center"/>
          </w:tcPr>
          <w:p w14:paraId="74CEACED" w14:textId="77777777" w:rsidR="00DE3BFE" w:rsidRPr="009D18BA" w:rsidRDefault="00DE3BFE" w:rsidP="00761F3F">
            <w:pPr>
              <w:autoSpaceDE w:val="0"/>
              <w:autoSpaceDN w:val="0"/>
              <w:adjustRightInd w:val="0"/>
              <w:spacing w:befor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9D18BA">
              <w:rPr>
                <w:rFonts w:ascii="Tahoma" w:hAnsi="Tahoma" w:cs="Tahoma"/>
                <w:sz w:val="16"/>
                <w:szCs w:val="16"/>
                <w:lang w:eastAsia="en-GB"/>
              </w:rPr>
              <w:t>PEF 2024</w:t>
            </w:r>
          </w:p>
        </w:tc>
        <w:tc>
          <w:tcPr>
            <w:tcW w:w="672" w:type="pct"/>
            <w:vAlign w:val="center"/>
          </w:tcPr>
          <w:p w14:paraId="37CCEC12" w14:textId="77777777" w:rsidR="00DE3BFE" w:rsidRPr="009D18BA" w:rsidRDefault="00DE3BFE" w:rsidP="00761F3F">
            <w:pPr>
              <w:autoSpaceDE w:val="0"/>
              <w:autoSpaceDN w:val="0"/>
              <w:adjustRightInd w:val="0"/>
              <w:spacing w:befor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9D18BA">
              <w:rPr>
                <w:rFonts w:ascii="Tahoma" w:hAnsi="Tahoma" w:cs="Tahoma"/>
                <w:sz w:val="16"/>
                <w:szCs w:val="16"/>
                <w:lang w:eastAsia="en-GB"/>
              </w:rPr>
              <w:t>PEF 2025</w:t>
            </w:r>
          </w:p>
        </w:tc>
      </w:tr>
      <w:tr w:rsidR="00DE3BFE" w:rsidRPr="009D18BA" w14:paraId="0BB6F39A" w14:textId="77777777" w:rsidTr="00DE3BFE">
        <w:trPr>
          <w:trHeight w:val="516"/>
        </w:trPr>
        <w:tc>
          <w:tcPr>
            <w:cnfStyle w:val="001000000000" w:firstRow="0" w:lastRow="0" w:firstColumn="1" w:lastColumn="0" w:oddVBand="0" w:evenVBand="0" w:oddHBand="0" w:evenHBand="0" w:firstRowFirstColumn="0" w:firstRowLastColumn="0" w:lastRowFirstColumn="0" w:lastRowLastColumn="0"/>
            <w:tcW w:w="813" w:type="pct"/>
            <w:vAlign w:val="center"/>
          </w:tcPr>
          <w:p w14:paraId="6B34D3B8" w14:textId="1E68EAFF" w:rsidR="00DE3BFE" w:rsidRPr="009D18BA" w:rsidRDefault="000E440F" w:rsidP="00761F3F">
            <w:pPr>
              <w:autoSpaceDE w:val="0"/>
              <w:autoSpaceDN w:val="0"/>
              <w:adjustRightInd w:val="0"/>
              <w:spacing w:before="0"/>
              <w:jc w:val="center"/>
              <w:rPr>
                <w:rFonts w:ascii="Tahoma" w:hAnsi="Tahoma" w:cs="Tahoma"/>
                <w:i/>
                <w:sz w:val="16"/>
                <w:szCs w:val="16"/>
                <w:lang w:eastAsia="en-GB"/>
              </w:rPr>
            </w:pPr>
            <m:oMathPara>
              <m:oMath>
                <m:sSub>
                  <m:sSubPr>
                    <m:ctrlPr>
                      <w:rPr>
                        <w:rFonts w:ascii="Cambria Math" w:hAnsi="Cambria Math" w:cs="Tahoma"/>
                        <w:i/>
                        <w:sz w:val="16"/>
                        <w:szCs w:val="16"/>
                        <w:lang w:eastAsia="en-GB"/>
                      </w:rPr>
                    </m:ctrlPr>
                  </m:sSubPr>
                  <m:e>
                    <m:r>
                      <m:rPr>
                        <m:sty m:val="bi"/>
                      </m:rPr>
                      <w:rPr>
                        <w:rFonts w:ascii="Cambria Math" w:hAnsi="Cambria Math" w:cs="Tahoma"/>
                        <w:sz w:val="16"/>
                        <w:szCs w:val="16"/>
                        <w:lang w:eastAsia="en-GB"/>
                      </w:rPr>
                      <m:t>γ</m:t>
                    </m:r>
                  </m:e>
                  <m:sub>
                    <m:r>
                      <m:rPr>
                        <m:sty m:val="bi"/>
                      </m:rPr>
                      <w:rPr>
                        <w:rFonts w:ascii="Cambria Math" w:hAnsi="Cambria Math" w:cs="Tahoma"/>
                        <w:sz w:val="16"/>
                        <w:szCs w:val="16"/>
                        <w:lang w:eastAsia="en-GB"/>
                      </w:rPr>
                      <m:t>1</m:t>
                    </m:r>
                    <m:r>
                      <m:rPr>
                        <m:sty m:val="bi"/>
                      </m:rPr>
                      <w:rPr>
                        <w:rFonts w:ascii="Cambria Math" w:hAnsi="Cambria Math" w:cs="Tahoma"/>
                        <w:sz w:val="16"/>
                        <w:szCs w:val="16"/>
                        <w:lang w:eastAsia="en-GB"/>
                      </w:rPr>
                      <m:t>,</m:t>
                    </m:r>
                    <m:r>
                      <m:rPr>
                        <m:sty m:val="bi"/>
                      </m:rPr>
                      <w:rPr>
                        <w:rFonts w:ascii="Cambria Math" w:hAnsi="Cambria Math" w:cs="Tahoma"/>
                        <w:sz w:val="16"/>
                        <w:szCs w:val="16"/>
                        <w:lang w:eastAsia="en-GB"/>
                      </w:rPr>
                      <m:t>a</m:t>
                    </m:r>
                  </m:sub>
                </m:sSub>
              </m:oMath>
            </m:oMathPara>
          </w:p>
        </w:tc>
        <w:tc>
          <w:tcPr>
            <w:tcW w:w="2834" w:type="pct"/>
            <w:vAlign w:val="center"/>
          </w:tcPr>
          <w:p w14:paraId="64AB383F" w14:textId="77777777" w:rsidR="00DE3BFE" w:rsidRPr="009D18BA" w:rsidRDefault="00DE3BFE" w:rsidP="00761F3F">
            <w:pPr>
              <w:autoSpaceDE w:val="0"/>
              <w:autoSpaceDN w:val="0"/>
              <w:adjustRightInd w:val="0"/>
              <w:spacing w:before="0"/>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9D18BA">
              <w:rPr>
                <w:rFonts w:ascii="Tahoma" w:hAnsi="Tahoma" w:cs="Tahoma"/>
                <w:sz w:val="16"/>
                <w:szCs w:val="16"/>
                <w:lang w:eastAsia="en-GB"/>
              </w:rPr>
              <w:t>Valutazione rispetto agli obiettivi di raccolta differenziata</w:t>
            </w:r>
          </w:p>
        </w:tc>
        <w:tc>
          <w:tcPr>
            <w:tcW w:w="681" w:type="pct"/>
            <w:vAlign w:val="center"/>
          </w:tcPr>
          <w:p w14:paraId="19E1A2DD" w14:textId="2A656278" w:rsidR="00DE3BFE" w:rsidRPr="009D18BA" w:rsidRDefault="00787D8D" w:rsidP="009D18BA">
            <w:pPr>
              <w:autoSpaceDE w:val="0"/>
              <w:autoSpaceDN w:val="0"/>
              <w:adjustRightInd w:val="0"/>
              <w:spacing w:befor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9D18BA">
              <w:rPr>
                <w:rFonts w:ascii="Tahoma" w:hAnsi="Tahoma" w:cs="Tahoma"/>
                <w:sz w:val="16"/>
                <w:szCs w:val="16"/>
                <w:lang w:eastAsia="en-GB"/>
              </w:rPr>
              <w:t xml:space="preserve">SODDISFACENTE </w:t>
            </w:r>
          </w:p>
        </w:tc>
        <w:tc>
          <w:tcPr>
            <w:tcW w:w="672" w:type="pct"/>
            <w:vAlign w:val="center"/>
          </w:tcPr>
          <w:p w14:paraId="114FA5D0" w14:textId="18E2A062" w:rsidR="009D18BA" w:rsidRPr="009D18BA" w:rsidRDefault="00787D8D" w:rsidP="009D18BA">
            <w:pPr>
              <w:autoSpaceDE w:val="0"/>
              <w:autoSpaceDN w:val="0"/>
              <w:adjustRightInd w:val="0"/>
              <w:spacing w:befor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9D18BA">
              <w:rPr>
                <w:rFonts w:ascii="Tahoma" w:hAnsi="Tahoma" w:cs="Tahoma"/>
                <w:sz w:val="16"/>
                <w:szCs w:val="16"/>
                <w:lang w:eastAsia="en-GB"/>
              </w:rPr>
              <w:t xml:space="preserve">SODDISFACENTE </w:t>
            </w:r>
          </w:p>
          <w:p w14:paraId="0031A5EC" w14:textId="4BBB2D9D" w:rsidR="00DE3BFE" w:rsidRPr="009D18BA" w:rsidRDefault="00DE3BFE" w:rsidP="00761F3F">
            <w:pPr>
              <w:autoSpaceDE w:val="0"/>
              <w:autoSpaceDN w:val="0"/>
              <w:adjustRightInd w:val="0"/>
              <w:spacing w:befor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p>
        </w:tc>
      </w:tr>
      <w:tr w:rsidR="00DE3BFE" w14:paraId="51C03D87" w14:textId="77777777" w:rsidTr="00DE3BFE">
        <w:trPr>
          <w:trHeight w:val="469"/>
        </w:trPr>
        <w:tc>
          <w:tcPr>
            <w:cnfStyle w:val="001000000000" w:firstRow="0" w:lastRow="0" w:firstColumn="1" w:lastColumn="0" w:oddVBand="0" w:evenVBand="0" w:oddHBand="0" w:evenHBand="0" w:firstRowFirstColumn="0" w:firstRowLastColumn="0" w:lastRowFirstColumn="0" w:lastRowLastColumn="0"/>
            <w:tcW w:w="813" w:type="pct"/>
            <w:vAlign w:val="center"/>
          </w:tcPr>
          <w:p w14:paraId="04AC1C83" w14:textId="769F7276" w:rsidR="00DE3BFE" w:rsidRPr="009D18BA" w:rsidRDefault="000E440F" w:rsidP="00761F3F">
            <w:pPr>
              <w:autoSpaceDE w:val="0"/>
              <w:autoSpaceDN w:val="0"/>
              <w:adjustRightInd w:val="0"/>
              <w:spacing w:before="0"/>
              <w:jc w:val="center"/>
              <w:rPr>
                <w:rFonts w:ascii="Tahoma" w:hAnsi="Tahoma" w:cs="Tahoma"/>
                <w:i/>
                <w:sz w:val="16"/>
                <w:szCs w:val="16"/>
                <w:lang w:eastAsia="en-GB"/>
              </w:rPr>
            </w:pPr>
            <m:oMathPara>
              <m:oMath>
                <m:sSub>
                  <m:sSubPr>
                    <m:ctrlPr>
                      <w:rPr>
                        <w:rFonts w:ascii="Cambria Math" w:hAnsi="Cambria Math" w:cs="Tahoma"/>
                        <w:i/>
                        <w:sz w:val="16"/>
                        <w:szCs w:val="16"/>
                        <w:lang w:eastAsia="en-GB"/>
                      </w:rPr>
                    </m:ctrlPr>
                  </m:sSubPr>
                  <m:e>
                    <m:r>
                      <m:rPr>
                        <m:sty m:val="bi"/>
                      </m:rPr>
                      <w:rPr>
                        <w:rFonts w:ascii="Cambria Math" w:hAnsi="Cambria Math" w:cs="Tahoma"/>
                        <w:sz w:val="16"/>
                        <w:szCs w:val="16"/>
                        <w:lang w:eastAsia="en-GB"/>
                      </w:rPr>
                      <m:t>γ</m:t>
                    </m:r>
                  </m:e>
                  <m:sub>
                    <m:r>
                      <m:rPr>
                        <m:sty m:val="bi"/>
                      </m:rPr>
                      <w:rPr>
                        <w:rFonts w:ascii="Cambria Math" w:hAnsi="Cambria Math" w:cs="Tahoma"/>
                        <w:sz w:val="16"/>
                        <w:szCs w:val="16"/>
                        <w:lang w:eastAsia="en-GB"/>
                      </w:rPr>
                      <m:t>2</m:t>
                    </m:r>
                    <m:r>
                      <m:rPr>
                        <m:sty m:val="bi"/>
                      </m:rPr>
                      <w:rPr>
                        <w:rFonts w:ascii="Cambria Math" w:hAnsi="Cambria Math" w:cs="Tahoma"/>
                        <w:sz w:val="16"/>
                        <w:szCs w:val="16"/>
                        <w:lang w:eastAsia="en-GB"/>
                      </w:rPr>
                      <m:t>,</m:t>
                    </m:r>
                    <m:r>
                      <m:rPr>
                        <m:sty m:val="bi"/>
                      </m:rPr>
                      <w:rPr>
                        <w:rFonts w:ascii="Cambria Math" w:hAnsi="Cambria Math" w:cs="Tahoma"/>
                        <w:sz w:val="16"/>
                        <w:szCs w:val="16"/>
                        <w:lang w:eastAsia="en-GB"/>
                      </w:rPr>
                      <m:t>a</m:t>
                    </m:r>
                  </m:sub>
                </m:sSub>
              </m:oMath>
            </m:oMathPara>
          </w:p>
        </w:tc>
        <w:tc>
          <w:tcPr>
            <w:tcW w:w="2834" w:type="pct"/>
            <w:vAlign w:val="center"/>
          </w:tcPr>
          <w:p w14:paraId="59CE8CF8" w14:textId="77777777" w:rsidR="00DE3BFE" w:rsidRPr="009D18BA" w:rsidRDefault="00DE3BFE" w:rsidP="00761F3F">
            <w:pPr>
              <w:autoSpaceDE w:val="0"/>
              <w:autoSpaceDN w:val="0"/>
              <w:adjustRightInd w:val="0"/>
              <w:spacing w:before="0"/>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9D18BA">
              <w:rPr>
                <w:rFonts w:ascii="Tahoma" w:hAnsi="Tahoma" w:cs="Tahoma"/>
                <w:sz w:val="16"/>
                <w:szCs w:val="16"/>
                <w:lang w:eastAsia="en-GB"/>
              </w:rPr>
              <w:t>Valutazione rispetto all'efficacia dell'attività di preparazione per il riutilizzo e riciclo</w:t>
            </w:r>
          </w:p>
        </w:tc>
        <w:tc>
          <w:tcPr>
            <w:tcW w:w="681" w:type="pct"/>
            <w:vAlign w:val="center"/>
          </w:tcPr>
          <w:p w14:paraId="3701A35B" w14:textId="360DEF4E" w:rsidR="009D18BA" w:rsidRPr="009D18BA" w:rsidRDefault="00787D8D" w:rsidP="009D18BA">
            <w:pPr>
              <w:autoSpaceDE w:val="0"/>
              <w:autoSpaceDN w:val="0"/>
              <w:adjustRightInd w:val="0"/>
              <w:spacing w:befor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9D18BA">
              <w:rPr>
                <w:rFonts w:ascii="Tahoma" w:hAnsi="Tahoma" w:cs="Tahoma"/>
                <w:sz w:val="16"/>
                <w:szCs w:val="16"/>
                <w:lang w:eastAsia="en-GB"/>
              </w:rPr>
              <w:t xml:space="preserve">SODDISFACENTE </w:t>
            </w:r>
          </w:p>
          <w:p w14:paraId="550AAB21" w14:textId="2A898B63" w:rsidR="00DE3BFE" w:rsidRPr="009D18BA" w:rsidRDefault="00DE3BFE" w:rsidP="00761F3F">
            <w:pPr>
              <w:autoSpaceDE w:val="0"/>
              <w:autoSpaceDN w:val="0"/>
              <w:adjustRightInd w:val="0"/>
              <w:spacing w:befor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p>
        </w:tc>
        <w:tc>
          <w:tcPr>
            <w:tcW w:w="672" w:type="pct"/>
            <w:vAlign w:val="center"/>
          </w:tcPr>
          <w:p w14:paraId="617DB462" w14:textId="0D95910B" w:rsidR="009D18BA" w:rsidRPr="003F69A6" w:rsidRDefault="00787D8D" w:rsidP="009D18BA">
            <w:pPr>
              <w:autoSpaceDE w:val="0"/>
              <w:autoSpaceDN w:val="0"/>
              <w:adjustRightInd w:val="0"/>
              <w:spacing w:befor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9D18BA">
              <w:rPr>
                <w:rFonts w:ascii="Tahoma" w:hAnsi="Tahoma" w:cs="Tahoma"/>
                <w:sz w:val="16"/>
                <w:szCs w:val="16"/>
                <w:lang w:eastAsia="en-GB"/>
              </w:rPr>
              <w:t xml:space="preserve">SODDISFACENTE </w:t>
            </w:r>
          </w:p>
          <w:p w14:paraId="1553FA91" w14:textId="19509E9A" w:rsidR="00DE3BFE" w:rsidRPr="003F69A6" w:rsidRDefault="00DE3BFE" w:rsidP="00761F3F">
            <w:pPr>
              <w:autoSpaceDE w:val="0"/>
              <w:autoSpaceDN w:val="0"/>
              <w:adjustRightInd w:val="0"/>
              <w:spacing w:befor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p>
        </w:tc>
      </w:tr>
    </w:tbl>
    <w:p w14:paraId="09DABD9A" w14:textId="77777777" w:rsidR="00700758" w:rsidRDefault="00700758" w:rsidP="00700758">
      <w:pPr>
        <w:rPr>
          <w:lang w:eastAsia="en-GB"/>
        </w:rPr>
      </w:pPr>
    </w:p>
    <w:p w14:paraId="27A86389" w14:textId="12FCCDC1" w:rsidR="00700758" w:rsidRDefault="00700758" w:rsidP="00700758">
      <w:pPr>
        <w:pStyle w:val="Titolo3"/>
      </w:pPr>
      <w:bookmarkStart w:id="24" w:name="_Toc93658148"/>
      <w:bookmarkStart w:id="25" w:name="_Toc163127415"/>
      <w:r>
        <w:t xml:space="preserve">Coefficienti </w:t>
      </w:r>
      <m:oMath>
        <m:sSub>
          <m:sSubPr>
            <m:ctrlPr>
              <w:rPr>
                <w:rFonts w:ascii="Cambria Math" w:hAnsi="Cambria Math" w:cs="Times New Roman"/>
                <w:b w:val="0"/>
                <w:bCs w:val="0"/>
                <w:i/>
                <w:iCs w:val="0"/>
              </w:rPr>
            </m:ctrlPr>
          </m:sSubPr>
          <m:e>
            <m:r>
              <m:rPr>
                <m:sty m:val="bi"/>
              </m:rPr>
              <w:rPr>
                <w:rFonts w:ascii="Cambria Math" w:hAnsi="Cambria Math"/>
              </w:rPr>
              <m:t>QL</m:t>
            </m:r>
          </m:e>
          <m:sub/>
        </m:sSub>
      </m:oMath>
      <w:r w:rsidR="00B728F6">
        <w:t xml:space="preserve"> </w:t>
      </w:r>
      <w:r>
        <w:t xml:space="preserve">(variazioni delle caratteristiche del servizio) e </w:t>
      </w:r>
      <m:oMath>
        <m:sSub>
          <m:sSubPr>
            <m:ctrlPr>
              <w:rPr>
                <w:rFonts w:ascii="Cambria Math" w:hAnsi="Cambria Math" w:cs="Times New Roman"/>
                <w:b w:val="0"/>
                <w:bCs w:val="0"/>
                <w:i/>
                <w:iCs w:val="0"/>
                <w:lang w:eastAsia="it-IT"/>
              </w:rPr>
            </m:ctrlPr>
          </m:sSubPr>
          <m:e>
            <m:r>
              <m:rPr>
                <m:sty m:val="bi"/>
              </m:rPr>
              <w:rPr>
                <w:rFonts w:ascii="Cambria Math" w:hAnsi="Cambria Math"/>
              </w:rPr>
              <m:t>PG</m:t>
            </m:r>
          </m:e>
          <m:sub/>
        </m:sSub>
      </m:oMath>
      <w:r w:rsidR="00B728F6">
        <w:t xml:space="preserve"> </w:t>
      </w:r>
      <w:r>
        <w:t>(variazioni di perimetro gestionale)</w:t>
      </w:r>
      <w:bookmarkEnd w:id="24"/>
      <w:bookmarkEnd w:id="25"/>
      <w:r>
        <w:t xml:space="preserve"> </w:t>
      </w:r>
    </w:p>
    <w:p w14:paraId="28F1A84B" w14:textId="2C5F39AC" w:rsidR="00700758" w:rsidRPr="00EA0792" w:rsidRDefault="001C2F73" w:rsidP="00700758">
      <w:pPr>
        <w:rPr>
          <w:lang w:eastAsia="en-GB"/>
        </w:rPr>
      </w:pPr>
      <w:r>
        <w:rPr>
          <w:lang w:eastAsia="en-GB"/>
        </w:rPr>
        <w:t>E</w:t>
      </w:r>
      <w:r w:rsidR="00700758" w:rsidRPr="00EA0792">
        <w:rPr>
          <w:lang w:eastAsia="en-GB"/>
        </w:rPr>
        <w:t xml:space="preserve">ssendo previste </w:t>
      </w:r>
      <w:r w:rsidR="00700758" w:rsidRPr="00EA0792">
        <w:rPr>
          <w:rFonts w:asciiTheme="minorHAnsi" w:hAnsiTheme="minorHAnsi"/>
        </w:rPr>
        <w:t>variazioni attese delle caratteristiche del servizio intese come variazioni delle modalità e caratteristiche del servizio integrato di gestione dei RU e/o dei singoli servizi che lo compongono, unitamente al miglioramento delle prestazioni erogate agli utenti, il valore del</w:t>
      </w:r>
      <w:r w:rsidR="00700758">
        <w:rPr>
          <w:rFonts w:asciiTheme="minorHAnsi" w:hAnsiTheme="minorHAnsi"/>
        </w:rPr>
        <w:t xml:space="preserve"> coefficiente </w:t>
      </w:r>
      <m:oMath>
        <m:sSub>
          <m:sSubPr>
            <m:ctrlPr>
              <w:rPr>
                <w:rFonts w:ascii="Cambria Math" w:hAnsi="Cambria Math"/>
                <w:i/>
                <w:lang w:eastAsia="en-GB"/>
              </w:rPr>
            </m:ctrlPr>
          </m:sSubPr>
          <m:e>
            <m:r>
              <w:rPr>
                <w:rFonts w:ascii="Cambria Math" w:hAnsi="Cambria Math"/>
                <w:lang w:eastAsia="en-GB"/>
              </w:rPr>
              <m:t>QL</m:t>
            </m:r>
          </m:e>
          <m:sub>
            <m:r>
              <w:rPr>
                <w:rFonts w:ascii="Cambria Math" w:hAnsi="Cambria Math"/>
                <w:lang w:eastAsia="en-GB"/>
              </w:rPr>
              <m:t>a</m:t>
            </m:r>
          </m:sub>
        </m:sSub>
      </m:oMath>
      <w:r w:rsidR="0064630C">
        <w:rPr>
          <w:rFonts w:asciiTheme="minorHAnsi" w:hAnsiTheme="minorHAnsi"/>
          <w:lang w:eastAsia="en-GB"/>
        </w:rPr>
        <w:t xml:space="preserve"> </w:t>
      </w:r>
      <w:r w:rsidR="00700758" w:rsidRPr="00EA0792">
        <w:rPr>
          <w:rFonts w:asciiTheme="minorHAnsi" w:hAnsiTheme="minorHAnsi"/>
        </w:rPr>
        <w:t xml:space="preserve">concorrente al calcolo del </w:t>
      </w:r>
      <m:oMath>
        <m:sSub>
          <m:sSubPr>
            <m:ctrlPr>
              <w:rPr>
                <w:rFonts w:ascii="Cambria Math" w:eastAsia="CambriaMath" w:hAnsi="Cambria Math" w:cs="CambriaMath"/>
                <w:i/>
                <w:szCs w:val="20"/>
              </w:rPr>
            </m:ctrlPr>
          </m:sSubPr>
          <m:e>
            <m:r>
              <w:rPr>
                <w:rFonts w:ascii="Cambria Math" w:eastAsia="CambriaMath" w:hAnsi="Cambria Math" w:cs="CambriaMath" w:hint="eastAsia"/>
                <w:szCs w:val="20"/>
              </w:rPr>
              <m:t>ρ</m:t>
            </m:r>
          </m:e>
          <m:sub>
            <m:r>
              <w:rPr>
                <w:rFonts w:ascii="Cambria Math" w:eastAsia="CambriaMath" w:hAnsi="Cambria Math" w:cs="CambriaMath"/>
                <w:szCs w:val="20"/>
              </w:rPr>
              <m:t>a</m:t>
            </m:r>
          </m:sub>
        </m:sSub>
      </m:oMath>
      <w:r w:rsidR="00700758" w:rsidRPr="00EA0792">
        <w:rPr>
          <w:b/>
          <w:bCs/>
          <w:i/>
          <w:iCs/>
          <w:vertAlign w:val="subscript"/>
          <w:lang w:eastAsia="en-GB"/>
        </w:rPr>
        <w:t xml:space="preserve"> </w:t>
      </w:r>
      <w:r w:rsidR="00700758" w:rsidRPr="00EA0792">
        <w:rPr>
          <w:lang w:eastAsia="en-GB"/>
        </w:rPr>
        <w:t xml:space="preserve">assume il valore </w:t>
      </w:r>
      <w:r w:rsidR="000B38D7">
        <w:rPr>
          <w:lang w:eastAsia="en-GB"/>
        </w:rPr>
        <w:t>pari a</w:t>
      </w:r>
      <w:r w:rsidR="00700758" w:rsidRPr="00EA0792">
        <w:rPr>
          <w:lang w:eastAsia="en-GB"/>
        </w:rPr>
        <w:t xml:space="preserve"> </w:t>
      </w:r>
      <w:r w:rsidR="004C47EA">
        <w:rPr>
          <w:lang w:eastAsia="en-GB"/>
        </w:rPr>
        <w:t>2,50</w:t>
      </w:r>
      <w:r w:rsidR="00700758" w:rsidRPr="00EA0792">
        <w:rPr>
          <w:lang w:eastAsia="en-GB"/>
        </w:rPr>
        <w:t>%.</w:t>
      </w:r>
    </w:p>
    <w:p w14:paraId="16E67600" w14:textId="396C3FD6" w:rsidR="00700758" w:rsidRDefault="00700758" w:rsidP="00700758">
      <w:pPr>
        <w:rPr>
          <w:lang w:eastAsia="en-GB"/>
        </w:rPr>
      </w:pPr>
      <w:r w:rsidRPr="00EA0792">
        <w:rPr>
          <w:rFonts w:asciiTheme="minorHAnsi" w:hAnsiTheme="minorHAnsi"/>
        </w:rPr>
        <w:t xml:space="preserve">Non essendo previste variazioni attese di perimetro costituite dalla variazione delle attività effettuate dal </w:t>
      </w:r>
      <w:r w:rsidR="00761F3F">
        <w:rPr>
          <w:rFonts w:asciiTheme="minorHAnsi" w:hAnsiTheme="minorHAnsi"/>
        </w:rPr>
        <w:t>G</w:t>
      </w:r>
      <w:r w:rsidRPr="00EA0792">
        <w:rPr>
          <w:rFonts w:asciiTheme="minorHAnsi" w:hAnsiTheme="minorHAnsi"/>
        </w:rPr>
        <w:t>estore, il valore de</w:t>
      </w:r>
      <w:r>
        <w:rPr>
          <w:rFonts w:asciiTheme="minorHAnsi" w:hAnsiTheme="minorHAnsi"/>
        </w:rPr>
        <w:t xml:space="preserve">l coefficiente </w:t>
      </w:r>
      <m:oMath>
        <m:sSub>
          <m:sSubPr>
            <m:ctrlPr>
              <w:rPr>
                <w:rFonts w:ascii="Cambria Math" w:hAnsi="Cambria Math"/>
                <w:i/>
              </w:rPr>
            </m:ctrlPr>
          </m:sSubPr>
          <m:e>
            <m:r>
              <w:rPr>
                <w:rFonts w:ascii="Cambria Math" w:hAnsi="Cambria Math"/>
              </w:rPr>
              <m:t>PG</m:t>
            </m:r>
          </m:e>
          <m:sub>
            <m:r>
              <w:rPr>
                <w:rFonts w:ascii="Cambria Math" w:hAnsi="Cambria Math"/>
              </w:rPr>
              <m:t>a</m:t>
            </m:r>
          </m:sub>
        </m:sSub>
      </m:oMath>
      <w:r w:rsidRPr="00EA0792">
        <w:rPr>
          <w:rFonts w:asciiTheme="minorHAnsi" w:hAnsiTheme="minorHAnsi"/>
          <w:vertAlign w:val="subscript"/>
        </w:rPr>
        <w:t xml:space="preserve"> </w:t>
      </w:r>
      <w:r w:rsidRPr="00EA0792">
        <w:rPr>
          <w:rFonts w:asciiTheme="minorHAnsi" w:hAnsiTheme="minorHAnsi"/>
        </w:rPr>
        <w:t xml:space="preserve">concorrente al calcolo del </w:t>
      </w:r>
      <m:oMath>
        <m:sSub>
          <m:sSubPr>
            <m:ctrlPr>
              <w:rPr>
                <w:rFonts w:ascii="Cambria Math" w:eastAsia="CambriaMath" w:hAnsi="Cambria Math" w:cs="CambriaMath"/>
                <w:i/>
                <w:szCs w:val="20"/>
              </w:rPr>
            </m:ctrlPr>
          </m:sSubPr>
          <m:e>
            <m:r>
              <w:rPr>
                <w:rFonts w:ascii="Cambria Math" w:eastAsia="CambriaMath" w:hAnsi="Cambria Math" w:cs="CambriaMath" w:hint="eastAsia"/>
                <w:szCs w:val="20"/>
              </w:rPr>
              <m:t>ρ</m:t>
            </m:r>
          </m:e>
          <m:sub>
            <m:r>
              <w:rPr>
                <w:rFonts w:ascii="Cambria Math" w:eastAsia="CambriaMath" w:hAnsi="Cambria Math" w:cs="CambriaMath"/>
                <w:szCs w:val="20"/>
              </w:rPr>
              <m:t>a</m:t>
            </m:r>
          </m:sub>
        </m:sSub>
      </m:oMath>
      <w:r w:rsidRPr="00EA0792">
        <w:rPr>
          <w:b/>
          <w:bCs/>
          <w:i/>
          <w:iCs/>
          <w:vertAlign w:val="subscript"/>
          <w:lang w:eastAsia="en-GB"/>
        </w:rPr>
        <w:t xml:space="preserve"> </w:t>
      </w:r>
      <w:r w:rsidRPr="00EA0792">
        <w:rPr>
          <w:lang w:eastAsia="en-GB"/>
        </w:rPr>
        <w:t xml:space="preserve">assume il valore </w:t>
      </w:r>
      <w:r w:rsidR="000B38D7">
        <w:rPr>
          <w:lang w:eastAsia="en-GB"/>
        </w:rPr>
        <w:t>pari a</w:t>
      </w:r>
      <w:r w:rsidRPr="00EA0792">
        <w:rPr>
          <w:lang w:eastAsia="en-GB"/>
        </w:rPr>
        <w:t xml:space="preserve"> 0%.</w:t>
      </w:r>
    </w:p>
    <w:p w14:paraId="0E578961" w14:textId="2B66537F" w:rsidR="001B679C" w:rsidRDefault="001B679C" w:rsidP="00700758">
      <w:pPr>
        <w:rPr>
          <w:lang w:eastAsia="en-GB"/>
        </w:rPr>
      </w:pPr>
      <w:r>
        <w:rPr>
          <w:lang w:eastAsia="en-GB"/>
        </w:rPr>
        <w:t xml:space="preserve">Sulla base di quanto sopra indicato l’ETC </w:t>
      </w:r>
      <w:r w:rsidR="00A37E00">
        <w:rPr>
          <w:lang w:eastAsia="en-GB"/>
        </w:rPr>
        <w:t xml:space="preserve">ha </w:t>
      </w:r>
      <w:r>
        <w:rPr>
          <w:lang w:eastAsia="en-GB"/>
        </w:rPr>
        <w:t>defini</w:t>
      </w:r>
      <w:r w:rsidR="00A37E00">
        <w:rPr>
          <w:lang w:eastAsia="en-GB"/>
        </w:rPr>
        <w:t>to</w:t>
      </w:r>
      <w:r>
        <w:rPr>
          <w:lang w:eastAsia="en-GB"/>
        </w:rPr>
        <w:t xml:space="preserve"> </w:t>
      </w:r>
      <w:r w:rsidRPr="001B679C">
        <w:rPr>
          <w:lang w:eastAsia="en-GB"/>
        </w:rPr>
        <w:t xml:space="preserve">il quadrante di riferimento della gestione per entrambe le annualità del biennio 2024-2025 </w:t>
      </w:r>
      <w:r>
        <w:rPr>
          <w:lang w:eastAsia="en-GB"/>
        </w:rPr>
        <w:t>secondo quanto previsto dall’</w:t>
      </w:r>
      <w:r w:rsidRPr="001B679C">
        <w:rPr>
          <w:lang w:eastAsia="en-GB"/>
        </w:rPr>
        <w:t>articolo 4.3 del MTR-2 aggiornato</w:t>
      </w:r>
      <w:r w:rsidR="00A37E00">
        <w:rPr>
          <w:lang w:eastAsia="en-GB"/>
        </w:rPr>
        <w:t xml:space="preserve"> così come rappresentato nel </w:t>
      </w:r>
      <w:r w:rsidR="00A37E00" w:rsidRPr="00A37E00">
        <w:rPr>
          <w:i/>
          <w:iCs/>
          <w:lang w:eastAsia="en-GB"/>
        </w:rPr>
        <w:t>Tool</w:t>
      </w:r>
      <w:r w:rsidR="00A37E00">
        <w:rPr>
          <w:lang w:eastAsia="en-GB"/>
        </w:rPr>
        <w:t xml:space="preserve"> di calcolo allegato </w:t>
      </w:r>
      <w:proofErr w:type="gramStart"/>
      <w:r w:rsidR="00A37E00">
        <w:rPr>
          <w:lang w:eastAsia="en-GB"/>
        </w:rPr>
        <w:t>alle presente</w:t>
      </w:r>
      <w:proofErr w:type="gramEnd"/>
      <w:r w:rsidR="00A37E00">
        <w:rPr>
          <w:lang w:eastAsia="en-GB"/>
        </w:rPr>
        <w:t xml:space="preserve"> relazione.</w:t>
      </w:r>
    </w:p>
    <w:p w14:paraId="111263AF" w14:textId="461AE0D0" w:rsidR="001B679C" w:rsidRDefault="001D25E7" w:rsidP="001B679C">
      <w:pPr>
        <w:jc w:val="center"/>
        <w:rPr>
          <w:lang w:eastAsia="en-GB"/>
        </w:rPr>
      </w:pPr>
      <w:r>
        <w:rPr>
          <w:noProof/>
        </w:rPr>
        <w:lastRenderedPageBreak/>
        <w:drawing>
          <wp:inline distT="0" distB="0" distL="0" distR="0" wp14:anchorId="102F5632" wp14:editId="65DAE0EB">
            <wp:extent cx="6120130" cy="2912110"/>
            <wp:effectExtent l="0" t="0" r="0" b="2540"/>
            <wp:docPr id="1536310809" name="Immagine 1" descr="Immagine che contiene testo, schermata, numer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310809" name="Immagine 1" descr="Immagine che contiene testo, schermata, numero, Carattere&#10;&#10;Descrizione generata automaticamente"/>
                    <pic:cNvPicPr/>
                  </pic:nvPicPr>
                  <pic:blipFill>
                    <a:blip r:embed="rId8"/>
                    <a:stretch>
                      <a:fillRect/>
                    </a:stretch>
                  </pic:blipFill>
                  <pic:spPr>
                    <a:xfrm>
                      <a:off x="0" y="0"/>
                      <a:ext cx="6120130" cy="2912110"/>
                    </a:xfrm>
                    <a:prstGeom prst="rect">
                      <a:avLst/>
                    </a:prstGeom>
                  </pic:spPr>
                </pic:pic>
              </a:graphicData>
            </a:graphic>
          </wp:inline>
        </w:drawing>
      </w:r>
    </w:p>
    <w:p w14:paraId="2249A868" w14:textId="77777777" w:rsidR="00700758" w:rsidRDefault="00700758" w:rsidP="00700758">
      <w:pPr>
        <w:rPr>
          <w:lang w:eastAsia="en-GB"/>
        </w:rPr>
      </w:pPr>
    </w:p>
    <w:p w14:paraId="7ECE5F6A" w14:textId="076E0EED" w:rsidR="00700758" w:rsidRDefault="00700758" w:rsidP="00700758">
      <w:pPr>
        <w:pStyle w:val="Titolo3"/>
      </w:pPr>
      <w:bookmarkStart w:id="26" w:name="_Toc93658149"/>
      <w:bookmarkStart w:id="27" w:name="_Toc163127416"/>
      <w:r>
        <w:t xml:space="preserve">Coefficiente </w:t>
      </w:r>
      <w:bookmarkEnd w:id="26"/>
      <m:oMath>
        <m:sSub>
          <m:sSubPr>
            <m:ctrlPr>
              <w:rPr>
                <w:rFonts w:ascii="Cambria Math" w:hAnsi="Cambria Math" w:cs="Times New Roman"/>
                <w:b w:val="0"/>
                <w:bCs w:val="0"/>
                <w:i/>
                <w:iCs w:val="0"/>
              </w:rPr>
            </m:ctrlPr>
          </m:sSubPr>
          <m:e>
            <m:r>
              <m:rPr>
                <m:sty m:val="bi"/>
              </m:rPr>
              <w:rPr>
                <w:rFonts w:ascii="Cambria Math" w:hAnsi="Cambria Math"/>
              </w:rPr>
              <m:t>C</m:t>
            </m:r>
            <m:r>
              <m:rPr>
                <m:sty m:val="bi"/>
              </m:rPr>
              <w:rPr>
                <w:rFonts w:ascii="Cambria Math" w:hAnsi="Cambria Math"/>
              </w:rPr>
              <m:t>116</m:t>
            </m:r>
          </m:e>
          <m:sub/>
        </m:sSub>
      </m:oMath>
      <w:bookmarkEnd w:id="27"/>
    </w:p>
    <w:p w14:paraId="3A7C016E" w14:textId="60399C32" w:rsidR="00700758" w:rsidRPr="00C07B31" w:rsidRDefault="00700758" w:rsidP="00700758">
      <w:pPr>
        <w:rPr>
          <w:lang w:eastAsia="en-GB"/>
        </w:rPr>
      </w:pPr>
      <w:r w:rsidRPr="00C07B31">
        <w:rPr>
          <w:lang w:eastAsia="en-GB"/>
        </w:rPr>
        <w:t>Nella redazione del</w:t>
      </w:r>
      <w:r w:rsidR="00A37E00">
        <w:rPr>
          <w:lang w:eastAsia="en-GB"/>
        </w:rPr>
        <w:t>l’aggiornamento biennale del</w:t>
      </w:r>
      <w:r w:rsidRPr="00C07B31">
        <w:rPr>
          <w:lang w:eastAsia="en-GB"/>
        </w:rPr>
        <w:t xml:space="preserve"> PEF 202</w:t>
      </w:r>
      <w:r w:rsidR="00E70E96">
        <w:rPr>
          <w:lang w:eastAsia="en-GB"/>
        </w:rPr>
        <w:t>4</w:t>
      </w:r>
      <w:r>
        <w:rPr>
          <w:lang w:eastAsia="en-GB"/>
        </w:rPr>
        <w:t xml:space="preserve"> – 2025 l</w:t>
      </w:r>
      <w:r w:rsidRPr="00C07B31">
        <w:rPr>
          <w:lang w:eastAsia="en-GB"/>
        </w:rPr>
        <w:t>’</w:t>
      </w:r>
      <w:r w:rsidR="0064630C">
        <w:rPr>
          <w:lang w:eastAsia="en-GB"/>
        </w:rPr>
        <w:t>E</w:t>
      </w:r>
      <w:r w:rsidRPr="00C07B31">
        <w:rPr>
          <w:lang w:eastAsia="en-GB"/>
        </w:rPr>
        <w:t xml:space="preserve">nte ha deciso di valorizzare </w:t>
      </w:r>
      <w:r w:rsidR="00CB2C84">
        <w:rPr>
          <w:lang w:eastAsia="en-GB"/>
        </w:rPr>
        <w:t xml:space="preserve">a zero </w:t>
      </w:r>
      <w:r w:rsidRPr="00C07B31">
        <w:rPr>
          <w:lang w:eastAsia="en-GB"/>
        </w:rPr>
        <w:t xml:space="preserve">il coefficiente </w:t>
      </w:r>
      <m:oMath>
        <m:sSub>
          <m:sSubPr>
            <m:ctrlPr>
              <w:rPr>
                <w:rFonts w:ascii="Cambria Math" w:hAnsi="Cambria Math"/>
                <w:i/>
                <w:lang w:eastAsia="en-GB"/>
              </w:rPr>
            </m:ctrlPr>
          </m:sSubPr>
          <m:e>
            <m:r>
              <w:rPr>
                <w:rFonts w:ascii="Cambria Math" w:hAnsi="Cambria Math"/>
                <w:lang w:eastAsia="en-GB"/>
              </w:rPr>
              <m:t>C116</m:t>
            </m:r>
          </m:e>
          <m:sub>
            <m:r>
              <w:rPr>
                <w:rFonts w:ascii="Cambria Math" w:hAnsi="Cambria Math"/>
                <w:lang w:eastAsia="en-GB"/>
              </w:rPr>
              <m:t>a</m:t>
            </m:r>
          </m:sub>
        </m:sSub>
      </m:oMath>
      <w:r w:rsidRPr="00C07B31">
        <w:rPr>
          <w:lang w:eastAsia="en-GB"/>
        </w:rPr>
        <w:t>.</w:t>
      </w:r>
    </w:p>
    <w:p w14:paraId="424FA6BD" w14:textId="77777777" w:rsidR="00700758" w:rsidRDefault="00700758" w:rsidP="00700758">
      <w:pPr>
        <w:rPr>
          <w:lang w:eastAsia="en-GB"/>
        </w:rPr>
      </w:pPr>
    </w:p>
    <w:p w14:paraId="35C4906C" w14:textId="243F5B36" w:rsidR="00A37E00" w:rsidRDefault="00A37E00" w:rsidP="00700758">
      <w:pPr>
        <w:pStyle w:val="Titolo3"/>
        <w:rPr>
          <w:b w:val="0"/>
          <w:bCs w:val="0"/>
          <w:iCs w:val="0"/>
        </w:rPr>
      </w:pPr>
      <w:bookmarkStart w:id="28" w:name="_Toc163127417"/>
      <w:bookmarkStart w:id="29" w:name="_Toc93658150"/>
      <w:bookmarkStart w:id="30" w:name="_Ref96589506"/>
      <w:r>
        <w:t xml:space="preserve">Coefficiente </w:t>
      </w:r>
      <m:oMath>
        <m:sSub>
          <m:sSubPr>
            <m:ctrlPr>
              <w:rPr>
                <w:rFonts w:ascii="Cambria Math" w:hAnsi="Cambria Math" w:cs="Times New Roman"/>
                <w:b w:val="0"/>
                <w:bCs w:val="0"/>
                <w:i/>
                <w:iCs w:val="0"/>
              </w:rPr>
            </m:ctrlPr>
          </m:sSubPr>
          <m:e>
            <m:r>
              <m:rPr>
                <m:sty m:val="bi"/>
              </m:rPr>
              <w:rPr>
                <w:rFonts w:ascii="Cambria Math" w:hAnsi="Cambria Math"/>
              </w:rPr>
              <m:t>CRI</m:t>
            </m:r>
          </m:e>
          <m:sub/>
        </m:sSub>
      </m:oMath>
      <w:bookmarkEnd w:id="28"/>
    </w:p>
    <w:p w14:paraId="101CEB86" w14:textId="74E28310" w:rsidR="00A37E00" w:rsidRDefault="00A37E00" w:rsidP="00A37E00">
      <w:r w:rsidRPr="00C07B31">
        <w:rPr>
          <w:lang w:eastAsia="en-GB"/>
        </w:rPr>
        <w:t>Come previsto dall’art. 4.</w:t>
      </w:r>
      <w:r>
        <w:rPr>
          <w:lang w:eastAsia="en-GB"/>
        </w:rPr>
        <w:t>4bis d</w:t>
      </w:r>
      <w:r w:rsidRPr="00C07B31">
        <w:rPr>
          <w:lang w:eastAsia="en-GB"/>
        </w:rPr>
        <w:t>el MTR</w:t>
      </w:r>
      <w:r>
        <w:rPr>
          <w:lang w:eastAsia="en-GB"/>
        </w:rPr>
        <w:t>-2 aggiornato</w:t>
      </w:r>
      <w:r w:rsidRPr="00C07B31">
        <w:rPr>
          <w:lang w:eastAsia="en-GB"/>
        </w:rPr>
        <w:t xml:space="preserve">, ai fini della determinazione del parametro </w:t>
      </w:r>
      <w:r w:rsidRPr="00C07B31">
        <w:rPr>
          <w:rFonts w:ascii="Cambria Math" w:hAnsi="Cambria Math" w:cs="Cambria Math"/>
          <w:lang w:eastAsia="en-GB"/>
        </w:rPr>
        <w:t>𝜌</w:t>
      </w:r>
      <w:r w:rsidRPr="002740A4">
        <w:rPr>
          <w:rFonts w:ascii="Cambria Math" w:hAnsi="Cambria Math" w:cs="Cambria Math"/>
          <w:vertAlign w:val="subscript"/>
          <w:lang w:eastAsia="en-GB"/>
        </w:rPr>
        <w:t>𝑎</w:t>
      </w:r>
      <w:r w:rsidRPr="00C07B31">
        <w:rPr>
          <w:lang w:eastAsia="en-GB"/>
        </w:rPr>
        <w:t xml:space="preserve">, l’Ente territorialmente competente può </w:t>
      </w:r>
      <w:r>
        <w:rPr>
          <w:lang w:eastAsia="en-GB"/>
        </w:rPr>
        <w:t>valorizzare</w:t>
      </w:r>
      <w:r w:rsidRPr="00C07B31">
        <w:rPr>
          <w:lang w:eastAsia="en-GB"/>
        </w:rPr>
        <w:t xml:space="preserve"> il coefficiente</w:t>
      </w:r>
      <w:r>
        <w:rPr>
          <w:lang w:eastAsia="en-GB"/>
        </w:rPr>
        <w:t xml:space="preserve"> </w:t>
      </w:r>
      <m:oMath>
        <m:sSub>
          <m:sSubPr>
            <m:ctrlPr>
              <w:rPr>
                <w:rFonts w:ascii="Cambria Math" w:hAnsi="Cambria Math"/>
                <w:i/>
              </w:rPr>
            </m:ctrlPr>
          </m:sSubPr>
          <m:e>
            <m:r>
              <w:rPr>
                <w:rFonts w:ascii="Cambria Math" w:hAnsi="Cambria Math"/>
              </w:rPr>
              <m:t>CRI</m:t>
            </m:r>
          </m:e>
          <m:sub>
            <m:r>
              <w:rPr>
                <w:rFonts w:ascii="Cambria Math" w:hAnsi="Cambria Math"/>
              </w:rPr>
              <m:t>a</m:t>
            </m:r>
          </m:sub>
        </m:sSub>
      </m:oMath>
      <w:r>
        <w:t xml:space="preserve">al fine di tenere conto </w:t>
      </w:r>
      <w:r w:rsidRPr="00A37E00">
        <w:t>dei maggiori oneri sostenuti per il servizio integrato di gestione dei rifiuti negli anni 2022 e 2023 riconducibili alla dinamica dei prezzi dei fattori della produzione</w:t>
      </w:r>
      <w:r>
        <w:t>.</w:t>
      </w:r>
    </w:p>
    <w:p w14:paraId="6579B295" w14:textId="2D136D35" w:rsidR="00A37E00" w:rsidRDefault="00A37E00" w:rsidP="00A37E00">
      <w:pPr>
        <w:rPr>
          <w:lang w:eastAsia="en-GB"/>
        </w:rPr>
      </w:pPr>
      <w:r w:rsidRPr="00C07B31">
        <w:rPr>
          <w:lang w:eastAsia="en-GB"/>
        </w:rPr>
        <w:t>Tale coefficiente</w:t>
      </w:r>
      <w:r>
        <w:rPr>
          <w:lang w:eastAsia="en-GB"/>
        </w:rPr>
        <w:t xml:space="preserve"> è</w:t>
      </w:r>
      <w:r w:rsidRPr="00C07B31">
        <w:rPr>
          <w:lang w:eastAsia="en-GB"/>
        </w:rPr>
        <w:t xml:space="preserve"> valorizzabile </w:t>
      </w:r>
      <w:r>
        <w:rPr>
          <w:lang w:eastAsia="en-GB"/>
        </w:rPr>
        <w:t>entro il limite del 7</w:t>
      </w:r>
      <w:r w:rsidRPr="00C07B31">
        <w:rPr>
          <w:lang w:eastAsia="en-GB"/>
        </w:rPr>
        <w:t xml:space="preserve">%, </w:t>
      </w:r>
      <w:r>
        <w:rPr>
          <w:lang w:eastAsia="en-GB"/>
        </w:rPr>
        <w:t>con il limite complessivo sul valore del coefficiente</w:t>
      </w:r>
      <w:r w:rsidRPr="00892071">
        <w:rPr>
          <w:rFonts w:ascii="Cambria Math" w:hAnsi="Cambria Math" w:cs="Cambria Math"/>
          <w:lang w:eastAsia="en-GB"/>
        </w:rPr>
        <w:t xml:space="preserve"> </w:t>
      </w:r>
      <m:oMath>
        <m:sSub>
          <m:sSubPr>
            <m:ctrlPr>
              <w:rPr>
                <w:rFonts w:ascii="Cambria Math" w:eastAsia="CambriaMath" w:hAnsi="Cambria Math" w:cs="CambriaMath"/>
                <w:i/>
                <w:szCs w:val="20"/>
              </w:rPr>
            </m:ctrlPr>
          </m:sSubPr>
          <m:e>
            <m:r>
              <w:rPr>
                <w:rFonts w:ascii="Cambria Math" w:eastAsia="CambriaMath" w:hAnsi="Cambria Math" w:cs="CambriaMath" w:hint="eastAsia"/>
                <w:szCs w:val="20"/>
              </w:rPr>
              <m:t>ρ</m:t>
            </m:r>
          </m:e>
          <m:sub>
            <m:r>
              <w:rPr>
                <w:rFonts w:ascii="Cambria Math" w:eastAsia="CambriaMath" w:hAnsi="Cambria Math" w:cs="CambriaMath"/>
                <w:szCs w:val="20"/>
              </w:rPr>
              <m:t>a</m:t>
            </m:r>
          </m:sub>
        </m:sSub>
      </m:oMath>
      <w:r>
        <w:rPr>
          <w:lang w:eastAsia="en-GB"/>
        </w:rPr>
        <w:t xml:space="preserve"> definito all’art. 4.4</w:t>
      </w:r>
      <w:r w:rsidR="00E70E96">
        <w:rPr>
          <w:lang w:eastAsia="en-GB"/>
        </w:rPr>
        <w:t>bis</w:t>
      </w:r>
      <w:r>
        <w:rPr>
          <w:lang w:eastAsia="en-GB"/>
        </w:rPr>
        <w:t xml:space="preserve"> del MTR-2</w:t>
      </w:r>
      <w:r w:rsidR="00E70E96" w:rsidRPr="00E70E96">
        <w:rPr>
          <w:lang w:eastAsia="en-GB"/>
        </w:rPr>
        <w:t xml:space="preserve"> </w:t>
      </w:r>
      <w:r w:rsidR="00E70E96">
        <w:rPr>
          <w:lang w:eastAsia="en-GB"/>
        </w:rPr>
        <w:t>aggiornato</w:t>
      </w:r>
      <w:r>
        <w:rPr>
          <w:lang w:eastAsia="en-GB"/>
        </w:rPr>
        <w:t xml:space="preserve">. </w:t>
      </w:r>
    </w:p>
    <w:p w14:paraId="08C4FC50" w14:textId="0C27A2AF" w:rsidR="00A37E00" w:rsidRDefault="00A37E00" w:rsidP="00A37E00">
      <w:pPr>
        <w:rPr>
          <w:lang w:eastAsia="en-GB"/>
        </w:rPr>
      </w:pPr>
      <w:r>
        <w:rPr>
          <w:lang w:eastAsia="en-GB"/>
        </w:rPr>
        <w:t>L</w:t>
      </w:r>
      <w:r w:rsidRPr="00C07B31">
        <w:rPr>
          <w:lang w:eastAsia="en-GB"/>
        </w:rPr>
        <w:t>’</w:t>
      </w:r>
      <w:r>
        <w:rPr>
          <w:lang w:eastAsia="en-GB"/>
        </w:rPr>
        <w:t>E</w:t>
      </w:r>
      <w:r w:rsidRPr="00C07B31">
        <w:rPr>
          <w:lang w:eastAsia="en-GB"/>
        </w:rPr>
        <w:t xml:space="preserve">nte ha deciso di valorizzare il coefficiente </w:t>
      </w:r>
      <m:oMath>
        <m:sSub>
          <m:sSubPr>
            <m:ctrlPr>
              <w:rPr>
                <w:rFonts w:ascii="Cambria Math" w:hAnsi="Cambria Math"/>
                <w:i/>
                <w:lang w:eastAsia="en-GB"/>
              </w:rPr>
            </m:ctrlPr>
          </m:sSubPr>
          <m:e>
            <m:r>
              <w:rPr>
                <w:rFonts w:ascii="Cambria Math" w:hAnsi="Cambria Math"/>
                <w:lang w:eastAsia="en-GB"/>
              </w:rPr>
              <m:t>CRI</m:t>
            </m:r>
          </m:e>
          <m:sub>
            <m:r>
              <w:rPr>
                <w:rFonts w:ascii="Cambria Math" w:hAnsi="Cambria Math"/>
                <w:lang w:eastAsia="en-GB"/>
              </w:rPr>
              <m:t>a</m:t>
            </m:r>
          </m:sub>
        </m:sSub>
      </m:oMath>
      <w:r w:rsidRPr="00155CE3">
        <w:rPr>
          <w:i/>
          <w:iCs/>
          <w:lang w:eastAsia="en-GB"/>
        </w:rPr>
        <w:t xml:space="preserve"> </w:t>
      </w:r>
      <w:r w:rsidRPr="00C07B31">
        <w:rPr>
          <w:lang w:eastAsia="en-GB"/>
        </w:rPr>
        <w:t>nella misura indicata nel PEF allegato</w:t>
      </w:r>
      <w:r>
        <w:rPr>
          <w:lang w:eastAsia="en-GB"/>
        </w:rPr>
        <w:t xml:space="preserve"> </w:t>
      </w:r>
      <w:r w:rsidR="00E70E96">
        <w:rPr>
          <w:lang w:eastAsia="en-GB"/>
        </w:rPr>
        <w:t>alla luce dei maggiori costi causati dalla dinamica inflattiva dei prezzi dei fattori di produzione sostenuti negli anni 2022 e 2023.</w:t>
      </w:r>
    </w:p>
    <w:p w14:paraId="0810380C" w14:textId="13F31DFF" w:rsidR="00A37E00" w:rsidRPr="00EE02F0" w:rsidRDefault="00A37E00" w:rsidP="00A37E00">
      <w:pPr>
        <w:pStyle w:val="Didascalia"/>
        <w:spacing w:before="240" w:after="0" w:line="360" w:lineRule="auto"/>
        <w:ind w:left="357"/>
      </w:pPr>
      <w:r>
        <w:t xml:space="preserve">Tabella </w:t>
      </w:r>
      <w:r w:rsidR="003E1024">
        <w:fldChar w:fldCharType="begin"/>
      </w:r>
      <w:r w:rsidR="003E1024">
        <w:instrText xml:space="preserve"> SEQ Tabella \* ARABIC </w:instrText>
      </w:r>
      <w:r w:rsidR="003E1024">
        <w:fldChar w:fldCharType="separate"/>
      </w:r>
      <w:r w:rsidR="00E70E96">
        <w:rPr>
          <w:noProof/>
        </w:rPr>
        <w:t>49</w:t>
      </w:r>
      <w:r w:rsidR="003E1024">
        <w:rPr>
          <w:noProof/>
        </w:rPr>
        <w:fldChar w:fldCharType="end"/>
      </w:r>
      <w:r>
        <w:t xml:space="preserve"> Valorizzazione del coefficiente </w:t>
      </w:r>
      <m:oMath>
        <m:sSub>
          <m:sSubPr>
            <m:ctrlPr>
              <w:rPr>
                <w:rFonts w:ascii="Cambria Math" w:hAnsi="Cambria Math"/>
              </w:rPr>
            </m:ctrlPr>
          </m:sSubPr>
          <m:e>
            <m:r>
              <w:rPr>
                <w:rFonts w:ascii="Cambria Math" w:hAnsi="Cambria Math"/>
              </w:rPr>
              <m:t>CRI</m:t>
            </m:r>
          </m:e>
          <m:sub>
            <m:r>
              <w:rPr>
                <w:rFonts w:ascii="Cambria Math" w:hAnsi="Cambria Math"/>
              </w:rPr>
              <m:t>a</m:t>
            </m:r>
          </m:sub>
        </m:sSub>
      </m:oMath>
    </w:p>
    <w:tbl>
      <w:tblPr>
        <w:tblStyle w:val="Tabellagriglia1chiara-colore1"/>
        <w:tblW w:w="9661" w:type="dxa"/>
        <w:tblLook w:val="04A0" w:firstRow="1" w:lastRow="0" w:firstColumn="1" w:lastColumn="0" w:noHBand="0" w:noVBand="1"/>
      </w:tblPr>
      <w:tblGrid>
        <w:gridCol w:w="1482"/>
        <w:gridCol w:w="6111"/>
        <w:gridCol w:w="1034"/>
        <w:gridCol w:w="1034"/>
      </w:tblGrid>
      <w:tr w:rsidR="00A37E00" w14:paraId="66F41444" w14:textId="77777777" w:rsidTr="002E7E01">
        <w:trPr>
          <w:cnfStyle w:val="100000000000" w:firstRow="1" w:lastRow="0" w:firstColumn="0" w:lastColumn="0" w:oddVBand="0" w:evenVBand="0" w:oddHBand="0" w:evenHBand="0" w:firstRowFirstColumn="0" w:firstRowLastColumn="0" w:lastRowFirstColumn="0" w:lastRowLastColumn="0"/>
          <w:trHeight w:val="472"/>
          <w:tblHeader/>
        </w:trPr>
        <w:tc>
          <w:tcPr>
            <w:cnfStyle w:val="001000000000" w:firstRow="0" w:lastRow="0" w:firstColumn="1" w:lastColumn="0" w:oddVBand="0" w:evenVBand="0" w:oddHBand="0" w:evenHBand="0" w:firstRowFirstColumn="0" w:firstRowLastColumn="0" w:lastRowFirstColumn="0" w:lastRowLastColumn="0"/>
            <w:tcW w:w="1482" w:type="dxa"/>
            <w:vAlign w:val="center"/>
          </w:tcPr>
          <w:p w14:paraId="7142D390" w14:textId="77777777" w:rsidR="00A37E00" w:rsidRPr="003F69A6" w:rsidRDefault="00A37E00" w:rsidP="002E7E01">
            <w:pPr>
              <w:jc w:val="center"/>
              <w:rPr>
                <w:rFonts w:ascii="Tahoma" w:hAnsi="Tahoma" w:cs="Tahoma"/>
                <w:sz w:val="16"/>
                <w:szCs w:val="16"/>
                <w:lang w:eastAsia="en-GB"/>
              </w:rPr>
            </w:pPr>
            <w:r w:rsidRPr="003F69A6">
              <w:rPr>
                <w:rFonts w:ascii="Tahoma" w:hAnsi="Tahoma" w:cs="Tahoma"/>
                <w:sz w:val="16"/>
                <w:szCs w:val="16"/>
                <w:lang w:eastAsia="en-GB"/>
              </w:rPr>
              <w:t>Coefficiente</w:t>
            </w:r>
          </w:p>
        </w:tc>
        <w:tc>
          <w:tcPr>
            <w:tcW w:w="6111" w:type="dxa"/>
            <w:vAlign w:val="center"/>
          </w:tcPr>
          <w:p w14:paraId="2BBB25CA" w14:textId="77777777" w:rsidR="00A37E00" w:rsidRPr="003F69A6" w:rsidRDefault="00A37E00" w:rsidP="002E7E01">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Descrizione</w:t>
            </w:r>
          </w:p>
        </w:tc>
        <w:tc>
          <w:tcPr>
            <w:tcW w:w="1034" w:type="dxa"/>
            <w:vAlign w:val="center"/>
          </w:tcPr>
          <w:p w14:paraId="45A56E34" w14:textId="77777777" w:rsidR="00A37E00" w:rsidRPr="003F69A6" w:rsidRDefault="00A37E00" w:rsidP="002E7E0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16"/>
                <w:szCs w:val="16"/>
                <w:lang w:eastAsia="en-GB"/>
              </w:rPr>
            </w:pPr>
            <w:r w:rsidRPr="003F69A6">
              <w:rPr>
                <w:rFonts w:ascii="Tahoma" w:hAnsi="Tahoma" w:cs="Tahoma"/>
                <w:sz w:val="16"/>
                <w:szCs w:val="16"/>
                <w:lang w:eastAsia="en-GB"/>
              </w:rPr>
              <w:t>PEF 2024</w:t>
            </w:r>
          </w:p>
        </w:tc>
        <w:tc>
          <w:tcPr>
            <w:tcW w:w="1034" w:type="dxa"/>
            <w:vAlign w:val="center"/>
          </w:tcPr>
          <w:p w14:paraId="7681A717" w14:textId="77777777" w:rsidR="00A37E00" w:rsidRPr="003F69A6" w:rsidRDefault="00A37E00" w:rsidP="002E7E01">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PEF 2025</w:t>
            </w:r>
          </w:p>
        </w:tc>
      </w:tr>
      <w:tr w:rsidR="00A37E00" w:rsidRPr="00CC5C40" w14:paraId="4E5AC55C" w14:textId="77777777" w:rsidTr="002E7E01">
        <w:trPr>
          <w:trHeight w:val="702"/>
        </w:trPr>
        <w:tc>
          <w:tcPr>
            <w:cnfStyle w:val="001000000000" w:firstRow="0" w:lastRow="0" w:firstColumn="1" w:lastColumn="0" w:oddVBand="0" w:evenVBand="0" w:oddHBand="0" w:evenHBand="0" w:firstRowFirstColumn="0" w:firstRowLastColumn="0" w:lastRowFirstColumn="0" w:lastRowLastColumn="0"/>
            <w:tcW w:w="1482" w:type="dxa"/>
            <w:vAlign w:val="center"/>
          </w:tcPr>
          <w:p w14:paraId="3CBA58BC" w14:textId="197CFDEA" w:rsidR="00A37E00" w:rsidRPr="003F69A6" w:rsidRDefault="000E440F" w:rsidP="002E7E01">
            <w:pPr>
              <w:jc w:val="center"/>
              <w:rPr>
                <w:rFonts w:ascii="Tahoma" w:hAnsi="Tahoma" w:cs="Tahoma"/>
                <w:sz w:val="16"/>
                <w:szCs w:val="16"/>
                <w:lang w:eastAsia="en-GB"/>
              </w:rPr>
            </w:pPr>
            <m:oMathPara>
              <m:oMath>
                <m:sSub>
                  <m:sSubPr>
                    <m:ctrlPr>
                      <w:rPr>
                        <w:rFonts w:ascii="Cambria Math" w:hAnsi="Cambria Math"/>
                        <w:b w:val="0"/>
                        <w:bCs w:val="0"/>
                        <w:i/>
                        <w:lang w:eastAsia="en-GB"/>
                      </w:rPr>
                    </m:ctrlPr>
                  </m:sSubPr>
                  <m:e>
                    <m:r>
                      <m:rPr>
                        <m:sty m:val="bi"/>
                      </m:rPr>
                      <w:rPr>
                        <w:rFonts w:ascii="Cambria Math" w:hAnsi="Cambria Math"/>
                        <w:lang w:eastAsia="en-GB"/>
                      </w:rPr>
                      <m:t>CRI</m:t>
                    </m:r>
                  </m:e>
                  <m:sub>
                    <m:r>
                      <m:rPr>
                        <m:sty m:val="bi"/>
                      </m:rPr>
                      <w:rPr>
                        <w:rFonts w:ascii="Cambria Math" w:hAnsi="Cambria Math"/>
                        <w:lang w:eastAsia="en-GB"/>
                      </w:rPr>
                      <m:t>a</m:t>
                    </m:r>
                  </m:sub>
                </m:sSub>
              </m:oMath>
            </m:oMathPara>
          </w:p>
        </w:tc>
        <w:tc>
          <w:tcPr>
            <w:tcW w:w="6111" w:type="dxa"/>
            <w:vAlign w:val="center"/>
          </w:tcPr>
          <w:p w14:paraId="53EAEA94" w14:textId="3B026402" w:rsidR="00A37E00" w:rsidRPr="00CC5C40" w:rsidRDefault="00A37E00" w:rsidP="002E7E01">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 xml:space="preserve">Coefficiente per </w:t>
            </w:r>
            <w:r w:rsidR="00E70E96" w:rsidRPr="00CC5C40">
              <w:rPr>
                <w:rFonts w:ascii="Tahoma" w:hAnsi="Tahoma" w:cs="Tahoma"/>
                <w:sz w:val="16"/>
                <w:szCs w:val="16"/>
                <w:lang w:eastAsia="en-GB"/>
              </w:rPr>
              <w:t>tenere conto dei maggiori oneri sostenuti per il servizio integrato di gestione dei rifiuti negli anni 2022 e 2023 riconducibili alla dinamica dei prezzi dei fattori della produzione</w:t>
            </w:r>
          </w:p>
        </w:tc>
        <w:tc>
          <w:tcPr>
            <w:tcW w:w="1034" w:type="dxa"/>
            <w:vAlign w:val="center"/>
          </w:tcPr>
          <w:p w14:paraId="76361823" w14:textId="1D8224EC" w:rsidR="00A37E00" w:rsidRPr="00CC5C40" w:rsidRDefault="0086008C" w:rsidP="002E7E01">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Pr>
                <w:rFonts w:ascii="Tahoma" w:hAnsi="Tahoma" w:cs="Tahoma"/>
                <w:sz w:val="16"/>
                <w:szCs w:val="16"/>
                <w:lang w:eastAsia="en-GB"/>
              </w:rPr>
              <w:t>4,50</w:t>
            </w:r>
            <w:r w:rsidR="00A37E00" w:rsidRPr="00CC5C40">
              <w:rPr>
                <w:rFonts w:ascii="Tahoma" w:hAnsi="Tahoma" w:cs="Tahoma"/>
                <w:sz w:val="16"/>
                <w:szCs w:val="16"/>
                <w:lang w:eastAsia="en-GB"/>
              </w:rPr>
              <w:t>%</w:t>
            </w:r>
          </w:p>
        </w:tc>
        <w:tc>
          <w:tcPr>
            <w:tcW w:w="1034" w:type="dxa"/>
            <w:vAlign w:val="center"/>
          </w:tcPr>
          <w:p w14:paraId="1448F7E5" w14:textId="492B1943" w:rsidR="00A37E00" w:rsidRPr="00CC5C40" w:rsidRDefault="0086008C" w:rsidP="002E7E01">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Pr>
                <w:rFonts w:ascii="Tahoma" w:hAnsi="Tahoma" w:cs="Tahoma"/>
                <w:sz w:val="16"/>
                <w:szCs w:val="16"/>
                <w:lang w:eastAsia="en-GB"/>
              </w:rPr>
              <w:t>4,50</w:t>
            </w:r>
            <w:r w:rsidR="00A37E00" w:rsidRPr="00CC5C40">
              <w:rPr>
                <w:rFonts w:ascii="Tahoma" w:hAnsi="Tahoma" w:cs="Tahoma"/>
                <w:sz w:val="16"/>
                <w:szCs w:val="16"/>
                <w:lang w:eastAsia="en-GB"/>
              </w:rPr>
              <w:t>%</w:t>
            </w:r>
          </w:p>
        </w:tc>
      </w:tr>
    </w:tbl>
    <w:p w14:paraId="7545609D" w14:textId="77777777" w:rsidR="00A37E00" w:rsidRPr="00A37E00" w:rsidRDefault="00A37E00" w:rsidP="00A37E00">
      <w:pPr>
        <w:rPr>
          <w:lang w:eastAsia="en-GB"/>
        </w:rPr>
      </w:pPr>
    </w:p>
    <w:p w14:paraId="04BC68F8" w14:textId="30227A8F" w:rsidR="00700758" w:rsidRDefault="00700758" w:rsidP="00700758">
      <w:pPr>
        <w:pStyle w:val="Titolo3"/>
      </w:pPr>
      <w:bookmarkStart w:id="31" w:name="_Toc163127418"/>
      <w:r>
        <w:t>Conclusioni sul limite alla crescita</w:t>
      </w:r>
      <w:bookmarkEnd w:id="29"/>
      <w:bookmarkEnd w:id="30"/>
      <w:bookmarkEnd w:id="31"/>
      <w:r>
        <w:t xml:space="preserve">  </w:t>
      </w:r>
    </w:p>
    <w:p w14:paraId="4B13B06F" w14:textId="017F6674" w:rsidR="00700758" w:rsidRPr="001A571F" w:rsidRDefault="00700758" w:rsidP="00700758">
      <w:pPr>
        <w:rPr>
          <w:lang w:eastAsia="en-GB"/>
        </w:rPr>
      </w:pPr>
      <w:r>
        <w:rPr>
          <w:lang w:eastAsia="en-GB"/>
        </w:rPr>
        <w:t>Alla luce delle considerazioni sopraesposte</w:t>
      </w:r>
      <w:r w:rsidR="0064630C">
        <w:rPr>
          <w:lang w:eastAsia="en-GB"/>
        </w:rPr>
        <w:t>,</w:t>
      </w:r>
      <w:r>
        <w:rPr>
          <w:lang w:eastAsia="en-GB"/>
        </w:rPr>
        <w:t xml:space="preserve"> l’</w:t>
      </w:r>
      <w:r w:rsidR="0064630C">
        <w:rPr>
          <w:lang w:eastAsia="en-GB"/>
        </w:rPr>
        <w:t>E</w:t>
      </w:r>
      <w:r>
        <w:rPr>
          <w:lang w:eastAsia="en-GB"/>
        </w:rPr>
        <w:t xml:space="preserve">nte ha </w:t>
      </w:r>
      <w:r w:rsidR="0064630C">
        <w:rPr>
          <w:lang w:eastAsia="en-GB"/>
        </w:rPr>
        <w:t>valorizzato i</w:t>
      </w:r>
      <w:r>
        <w:rPr>
          <w:lang w:eastAsia="en-GB"/>
        </w:rPr>
        <w:t>l parametro</w:t>
      </w:r>
      <w:r w:rsidR="00CB2C84">
        <w:rPr>
          <w:lang w:eastAsia="en-GB"/>
        </w:rPr>
        <w:t xml:space="preserve"> </w:t>
      </w:r>
      <m:oMath>
        <m:sSub>
          <m:sSubPr>
            <m:ctrlPr>
              <w:rPr>
                <w:rFonts w:ascii="Cambria Math" w:eastAsia="CambriaMath" w:hAnsi="Cambria Math" w:cs="CambriaMath"/>
                <w:i/>
                <w:szCs w:val="20"/>
              </w:rPr>
            </m:ctrlPr>
          </m:sSubPr>
          <m:e>
            <m:r>
              <w:rPr>
                <w:rFonts w:ascii="Cambria Math" w:eastAsia="CambriaMath" w:hAnsi="Cambria Math" w:cs="CambriaMath" w:hint="eastAsia"/>
                <w:szCs w:val="20"/>
              </w:rPr>
              <m:t>ρ</m:t>
            </m:r>
          </m:e>
          <m:sub>
            <m:r>
              <w:rPr>
                <w:rFonts w:ascii="Cambria Math" w:eastAsia="CambriaMath" w:hAnsi="Cambria Math" w:cs="CambriaMath"/>
                <w:szCs w:val="20"/>
              </w:rPr>
              <m:t>a</m:t>
            </m:r>
          </m:sub>
        </m:sSub>
      </m:oMath>
      <w:r>
        <w:rPr>
          <w:b/>
          <w:bCs/>
          <w:i/>
          <w:iCs/>
          <w:vertAlign w:val="subscript"/>
          <w:lang w:eastAsia="en-GB"/>
        </w:rPr>
        <w:t xml:space="preserve"> </w:t>
      </w:r>
      <w:r>
        <w:rPr>
          <w:lang w:eastAsia="en-GB"/>
        </w:rPr>
        <w:t xml:space="preserve">come </w:t>
      </w:r>
      <w:r w:rsidR="0064630C">
        <w:rPr>
          <w:lang w:eastAsia="en-GB"/>
        </w:rPr>
        <w:t>rappresentato nella seguente</w:t>
      </w:r>
      <w:r>
        <w:rPr>
          <w:lang w:eastAsia="en-GB"/>
        </w:rPr>
        <w:t xml:space="preserve"> tabella:</w:t>
      </w:r>
    </w:p>
    <w:p w14:paraId="214E50A8" w14:textId="4B9DD9C6" w:rsidR="00700758" w:rsidRPr="00EE02F0" w:rsidRDefault="00B24301" w:rsidP="00EE02F0">
      <w:pPr>
        <w:pStyle w:val="Didascalia"/>
        <w:spacing w:before="240" w:after="0" w:line="360" w:lineRule="auto"/>
        <w:ind w:left="357"/>
      </w:pPr>
      <w:r w:rsidRPr="00B24301">
        <w:lastRenderedPageBreak/>
        <w:t xml:space="preserve">Tabella </w:t>
      </w:r>
      <w:r w:rsidR="003E1024">
        <w:fldChar w:fldCharType="begin"/>
      </w:r>
      <w:r w:rsidR="003E1024">
        <w:instrText xml:space="preserve"> SEQ Tabella \* ARABIC </w:instrText>
      </w:r>
      <w:r w:rsidR="003E1024">
        <w:fldChar w:fldCharType="separate"/>
      </w:r>
      <w:r w:rsidR="00DB362D">
        <w:rPr>
          <w:noProof/>
        </w:rPr>
        <w:t>50</w:t>
      </w:r>
      <w:r w:rsidR="003E1024">
        <w:rPr>
          <w:noProof/>
        </w:rPr>
        <w:fldChar w:fldCharType="end"/>
      </w:r>
      <w:r w:rsidR="00700758" w:rsidRPr="00B24301">
        <w:t xml:space="preserve"> Dettaglio dei coeffi</w:t>
      </w:r>
      <w:r>
        <w:t>c</w:t>
      </w:r>
      <w:r w:rsidR="00700758" w:rsidRPr="00B24301">
        <w:t>ienti utilizzati per la determinazione del limite alla</w:t>
      </w:r>
      <w:r>
        <w:t xml:space="preserve"> </w:t>
      </w:r>
      <w:r w:rsidR="00700758" w:rsidRPr="00B24301">
        <w:t>crescita</w:t>
      </w:r>
    </w:p>
    <w:tbl>
      <w:tblPr>
        <w:tblStyle w:val="Tabellagriglia1chiara-colore1"/>
        <w:tblW w:w="9618" w:type="dxa"/>
        <w:tblLook w:val="04A0" w:firstRow="1" w:lastRow="0" w:firstColumn="1" w:lastColumn="0" w:noHBand="0" w:noVBand="1"/>
      </w:tblPr>
      <w:tblGrid>
        <w:gridCol w:w="1475"/>
        <w:gridCol w:w="6085"/>
        <w:gridCol w:w="1029"/>
        <w:gridCol w:w="1029"/>
      </w:tblGrid>
      <w:tr w:rsidR="00E70E96" w14:paraId="1D49ADE7" w14:textId="77777777" w:rsidTr="00E70E96">
        <w:trPr>
          <w:cnfStyle w:val="100000000000" w:firstRow="1" w:lastRow="0" w:firstColumn="0" w:lastColumn="0" w:oddVBand="0" w:evenVBand="0" w:oddHBand="0" w:evenHBand="0" w:firstRowFirstColumn="0" w:firstRowLastColumn="0" w:lastRowFirstColumn="0" w:lastRowLastColumn="0"/>
          <w:trHeight w:val="598"/>
          <w:tblHeader/>
        </w:trPr>
        <w:tc>
          <w:tcPr>
            <w:cnfStyle w:val="001000000000" w:firstRow="0" w:lastRow="0" w:firstColumn="1" w:lastColumn="0" w:oddVBand="0" w:evenVBand="0" w:oddHBand="0" w:evenHBand="0" w:firstRowFirstColumn="0" w:firstRowLastColumn="0" w:lastRowFirstColumn="0" w:lastRowLastColumn="0"/>
            <w:tcW w:w="1475" w:type="dxa"/>
            <w:vAlign w:val="center"/>
          </w:tcPr>
          <w:p w14:paraId="5478F4DA" w14:textId="77777777" w:rsidR="00E70E96" w:rsidRPr="003F69A6" w:rsidRDefault="00E70E96" w:rsidP="0064630C">
            <w:pPr>
              <w:jc w:val="center"/>
              <w:rPr>
                <w:rFonts w:ascii="Tahoma" w:hAnsi="Tahoma" w:cs="Tahoma"/>
                <w:sz w:val="16"/>
                <w:szCs w:val="16"/>
                <w:lang w:eastAsia="en-GB"/>
              </w:rPr>
            </w:pPr>
            <w:r w:rsidRPr="003F69A6">
              <w:rPr>
                <w:rFonts w:ascii="Tahoma" w:hAnsi="Tahoma" w:cs="Tahoma"/>
                <w:sz w:val="16"/>
                <w:szCs w:val="16"/>
                <w:lang w:eastAsia="en-GB"/>
              </w:rPr>
              <w:t>Coefficiente</w:t>
            </w:r>
          </w:p>
        </w:tc>
        <w:tc>
          <w:tcPr>
            <w:tcW w:w="6085" w:type="dxa"/>
            <w:vAlign w:val="center"/>
          </w:tcPr>
          <w:p w14:paraId="3F563566" w14:textId="77777777" w:rsidR="00E70E96" w:rsidRPr="003F69A6" w:rsidRDefault="00E70E96" w:rsidP="0064630C">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Descrizione</w:t>
            </w:r>
          </w:p>
        </w:tc>
        <w:tc>
          <w:tcPr>
            <w:tcW w:w="1029" w:type="dxa"/>
            <w:vAlign w:val="center"/>
          </w:tcPr>
          <w:p w14:paraId="4185C23C" w14:textId="77777777" w:rsidR="00E70E96" w:rsidRPr="003F69A6" w:rsidRDefault="00E70E96" w:rsidP="0064630C">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16"/>
                <w:szCs w:val="16"/>
                <w:lang w:eastAsia="en-GB"/>
              </w:rPr>
            </w:pPr>
            <w:r w:rsidRPr="003F69A6">
              <w:rPr>
                <w:rFonts w:ascii="Tahoma" w:hAnsi="Tahoma" w:cs="Tahoma"/>
                <w:sz w:val="16"/>
                <w:szCs w:val="16"/>
                <w:lang w:eastAsia="en-GB"/>
              </w:rPr>
              <w:t>PEF 2024</w:t>
            </w:r>
          </w:p>
        </w:tc>
        <w:tc>
          <w:tcPr>
            <w:tcW w:w="1029" w:type="dxa"/>
            <w:vAlign w:val="center"/>
          </w:tcPr>
          <w:p w14:paraId="43793DEE" w14:textId="77777777" w:rsidR="00E70E96" w:rsidRPr="003F69A6" w:rsidRDefault="00E70E96" w:rsidP="0064630C">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PEF 2025</w:t>
            </w:r>
          </w:p>
        </w:tc>
      </w:tr>
      <w:tr w:rsidR="00E70E96" w14:paraId="51794ED9" w14:textId="77777777" w:rsidTr="00E70E96">
        <w:trPr>
          <w:trHeight w:val="699"/>
        </w:trPr>
        <w:tc>
          <w:tcPr>
            <w:cnfStyle w:val="001000000000" w:firstRow="0" w:lastRow="0" w:firstColumn="1" w:lastColumn="0" w:oddVBand="0" w:evenVBand="0" w:oddHBand="0" w:evenHBand="0" w:firstRowFirstColumn="0" w:firstRowLastColumn="0" w:lastRowFirstColumn="0" w:lastRowLastColumn="0"/>
            <w:tcW w:w="1475" w:type="dxa"/>
            <w:vAlign w:val="center"/>
          </w:tcPr>
          <w:p w14:paraId="2EA1339C" w14:textId="77777777" w:rsidR="00E70E96" w:rsidRPr="0064630C" w:rsidRDefault="00E70E96" w:rsidP="0064630C">
            <w:pPr>
              <w:jc w:val="center"/>
              <w:rPr>
                <w:rFonts w:ascii="Tahoma" w:hAnsi="Tahoma" w:cs="Tahoma"/>
                <w:b w:val="0"/>
                <w:bCs w:val="0"/>
                <w:i/>
                <w:iCs/>
                <w:sz w:val="16"/>
                <w:szCs w:val="16"/>
                <w:lang w:eastAsia="en-GB"/>
              </w:rPr>
            </w:pPr>
            <w:r w:rsidRPr="0064630C">
              <w:rPr>
                <w:rFonts w:ascii="Tahoma" w:hAnsi="Tahoma" w:cs="Tahoma"/>
                <w:b w:val="0"/>
                <w:bCs w:val="0"/>
                <w:i/>
                <w:iCs/>
                <w:sz w:val="16"/>
                <w:szCs w:val="16"/>
                <w:lang w:eastAsia="en-GB"/>
              </w:rPr>
              <w:t>rpi</w:t>
            </w:r>
            <w:r w:rsidRPr="0064630C">
              <w:rPr>
                <w:rFonts w:ascii="Tahoma" w:hAnsi="Tahoma" w:cs="Tahoma"/>
                <w:b w:val="0"/>
                <w:bCs w:val="0"/>
                <w:i/>
                <w:iCs/>
                <w:sz w:val="16"/>
                <w:szCs w:val="16"/>
                <w:vertAlign w:val="subscript"/>
                <w:lang w:eastAsia="en-GB"/>
              </w:rPr>
              <w:t>a</w:t>
            </w:r>
          </w:p>
        </w:tc>
        <w:tc>
          <w:tcPr>
            <w:tcW w:w="6085" w:type="dxa"/>
            <w:vAlign w:val="center"/>
          </w:tcPr>
          <w:p w14:paraId="7945C674" w14:textId="77777777" w:rsidR="00E70E96" w:rsidRPr="003F69A6" w:rsidRDefault="00E70E96" w:rsidP="0064630C">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Tasso di inflazione programmata</w:t>
            </w:r>
          </w:p>
        </w:tc>
        <w:tc>
          <w:tcPr>
            <w:tcW w:w="1029" w:type="dxa"/>
            <w:vAlign w:val="center"/>
          </w:tcPr>
          <w:p w14:paraId="305E088B" w14:textId="70FC67C1" w:rsidR="00E70E96" w:rsidRPr="003F69A6" w:rsidRDefault="00E70E96" w:rsidP="0064630C">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Pr>
                <w:rFonts w:ascii="Tahoma" w:hAnsi="Tahoma" w:cs="Tahoma"/>
                <w:sz w:val="16"/>
                <w:szCs w:val="16"/>
                <w:lang w:eastAsia="en-GB"/>
              </w:rPr>
              <w:t>2</w:t>
            </w:r>
            <w:r w:rsidRPr="003F69A6">
              <w:rPr>
                <w:rFonts w:ascii="Tahoma" w:hAnsi="Tahoma" w:cs="Tahoma"/>
                <w:sz w:val="16"/>
                <w:szCs w:val="16"/>
                <w:lang w:eastAsia="en-GB"/>
              </w:rPr>
              <w:t>,7%</w:t>
            </w:r>
          </w:p>
        </w:tc>
        <w:tc>
          <w:tcPr>
            <w:tcW w:w="1029" w:type="dxa"/>
            <w:vAlign w:val="center"/>
          </w:tcPr>
          <w:p w14:paraId="227A8627" w14:textId="1796C724" w:rsidR="00E70E96" w:rsidRPr="003F69A6" w:rsidRDefault="00E70E96" w:rsidP="0064630C">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Pr>
                <w:rFonts w:ascii="Tahoma" w:hAnsi="Tahoma" w:cs="Tahoma"/>
                <w:sz w:val="16"/>
                <w:szCs w:val="16"/>
                <w:lang w:eastAsia="en-GB"/>
              </w:rPr>
              <w:t>2</w:t>
            </w:r>
            <w:r w:rsidRPr="003F69A6">
              <w:rPr>
                <w:rFonts w:ascii="Tahoma" w:hAnsi="Tahoma" w:cs="Tahoma"/>
                <w:sz w:val="16"/>
                <w:szCs w:val="16"/>
                <w:lang w:eastAsia="en-GB"/>
              </w:rPr>
              <w:t>,7%</w:t>
            </w:r>
          </w:p>
        </w:tc>
      </w:tr>
      <w:tr w:rsidR="00E70E96" w:rsidRPr="00CC5C40" w14:paraId="2ECC4C75" w14:textId="77777777" w:rsidTr="00E70E96">
        <w:trPr>
          <w:trHeight w:val="699"/>
        </w:trPr>
        <w:tc>
          <w:tcPr>
            <w:cnfStyle w:val="001000000000" w:firstRow="0" w:lastRow="0" w:firstColumn="1" w:lastColumn="0" w:oddVBand="0" w:evenVBand="0" w:oddHBand="0" w:evenHBand="0" w:firstRowFirstColumn="0" w:firstRowLastColumn="0" w:lastRowFirstColumn="0" w:lastRowLastColumn="0"/>
            <w:tcW w:w="1475" w:type="dxa"/>
            <w:vAlign w:val="center"/>
          </w:tcPr>
          <w:p w14:paraId="35D2BC04" w14:textId="5EF9F280" w:rsidR="00E70E96" w:rsidRPr="0064630C" w:rsidRDefault="000E440F" w:rsidP="0064630C">
            <w:pPr>
              <w:jc w:val="center"/>
              <w:rPr>
                <w:rFonts w:ascii="Tahoma" w:hAnsi="Tahoma" w:cs="Tahoma"/>
                <w:b w:val="0"/>
                <w:bCs w:val="0"/>
                <w:i/>
                <w:iCs/>
                <w:sz w:val="16"/>
                <w:szCs w:val="16"/>
                <w:lang w:eastAsia="en-GB"/>
              </w:rPr>
            </w:pPr>
            <m:oMathPara>
              <m:oMath>
                <m:sSub>
                  <m:sSubPr>
                    <m:ctrlPr>
                      <w:rPr>
                        <w:rFonts w:ascii="Cambria Math" w:hAnsi="Cambria Math"/>
                        <w:b w:val="0"/>
                        <w:bCs w:val="0"/>
                        <w:i/>
                        <w:lang w:eastAsia="en-GB"/>
                      </w:rPr>
                    </m:ctrlPr>
                  </m:sSubPr>
                  <m:e>
                    <m:r>
                      <m:rPr>
                        <m:sty m:val="bi"/>
                      </m:rPr>
                      <w:rPr>
                        <w:rFonts w:ascii="Cambria Math" w:hAnsi="Cambria Math"/>
                        <w:lang w:eastAsia="en-GB"/>
                      </w:rPr>
                      <m:t>X</m:t>
                    </m:r>
                  </m:e>
                  <m:sub>
                    <m:r>
                      <m:rPr>
                        <m:sty m:val="bi"/>
                      </m:rPr>
                      <w:rPr>
                        <w:rFonts w:ascii="Cambria Math" w:hAnsi="Cambria Math"/>
                        <w:lang w:eastAsia="en-GB"/>
                      </w:rPr>
                      <m:t>a</m:t>
                    </m:r>
                  </m:sub>
                </m:sSub>
              </m:oMath>
            </m:oMathPara>
          </w:p>
        </w:tc>
        <w:tc>
          <w:tcPr>
            <w:tcW w:w="6085" w:type="dxa"/>
            <w:vAlign w:val="center"/>
          </w:tcPr>
          <w:p w14:paraId="7083AF7B" w14:textId="77777777" w:rsidR="00E70E96" w:rsidRPr="00CC5C40" w:rsidRDefault="00E70E96" w:rsidP="0064630C">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Coefficiente di recupero della produttività</w:t>
            </w:r>
          </w:p>
        </w:tc>
        <w:tc>
          <w:tcPr>
            <w:tcW w:w="1029" w:type="dxa"/>
            <w:vAlign w:val="center"/>
          </w:tcPr>
          <w:p w14:paraId="6D205526" w14:textId="0DC13B4B" w:rsidR="00E70E96" w:rsidRPr="00CC5C40" w:rsidRDefault="00E70E96" w:rsidP="0064630C">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0,</w:t>
            </w:r>
            <w:r w:rsidR="008F4987">
              <w:rPr>
                <w:rFonts w:ascii="Tahoma" w:hAnsi="Tahoma" w:cs="Tahoma"/>
                <w:sz w:val="16"/>
                <w:szCs w:val="16"/>
                <w:lang w:eastAsia="en-GB"/>
              </w:rPr>
              <w:t>1</w:t>
            </w:r>
            <w:r w:rsidRPr="00CC5C40">
              <w:rPr>
                <w:rFonts w:ascii="Tahoma" w:hAnsi="Tahoma" w:cs="Tahoma"/>
                <w:sz w:val="16"/>
                <w:szCs w:val="16"/>
                <w:lang w:eastAsia="en-GB"/>
              </w:rPr>
              <w:t>%</w:t>
            </w:r>
          </w:p>
        </w:tc>
        <w:tc>
          <w:tcPr>
            <w:tcW w:w="1029" w:type="dxa"/>
            <w:vAlign w:val="center"/>
          </w:tcPr>
          <w:p w14:paraId="0C6F8EF7" w14:textId="7A50F2EB" w:rsidR="00E70E96" w:rsidRPr="00CC5C40" w:rsidRDefault="00E70E96" w:rsidP="0064630C">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0,</w:t>
            </w:r>
            <w:r w:rsidR="008F4987">
              <w:rPr>
                <w:rFonts w:ascii="Tahoma" w:hAnsi="Tahoma" w:cs="Tahoma"/>
                <w:sz w:val="16"/>
                <w:szCs w:val="16"/>
                <w:lang w:eastAsia="en-GB"/>
              </w:rPr>
              <w:t>1</w:t>
            </w:r>
            <w:r w:rsidRPr="00CC5C40">
              <w:rPr>
                <w:rFonts w:ascii="Tahoma" w:hAnsi="Tahoma" w:cs="Tahoma"/>
                <w:sz w:val="16"/>
                <w:szCs w:val="16"/>
                <w:lang w:eastAsia="en-GB"/>
              </w:rPr>
              <w:t>%</w:t>
            </w:r>
          </w:p>
        </w:tc>
      </w:tr>
      <w:tr w:rsidR="00E70E96" w:rsidRPr="00CC5C40" w14:paraId="6C0CD3C2" w14:textId="77777777" w:rsidTr="00E70E96">
        <w:trPr>
          <w:trHeight w:val="699"/>
        </w:trPr>
        <w:tc>
          <w:tcPr>
            <w:cnfStyle w:val="001000000000" w:firstRow="0" w:lastRow="0" w:firstColumn="1" w:lastColumn="0" w:oddVBand="0" w:evenVBand="0" w:oddHBand="0" w:evenHBand="0" w:firstRowFirstColumn="0" w:firstRowLastColumn="0" w:lastRowFirstColumn="0" w:lastRowLastColumn="0"/>
            <w:tcW w:w="1475" w:type="dxa"/>
            <w:vAlign w:val="center"/>
          </w:tcPr>
          <w:p w14:paraId="6E9DFD37" w14:textId="150DE40F" w:rsidR="00E70E96" w:rsidRPr="0064630C" w:rsidRDefault="000E440F" w:rsidP="0064630C">
            <w:pPr>
              <w:jc w:val="center"/>
              <w:rPr>
                <w:rFonts w:ascii="Tahoma" w:hAnsi="Tahoma" w:cs="Tahoma"/>
                <w:b w:val="0"/>
                <w:bCs w:val="0"/>
                <w:i/>
                <w:iCs/>
                <w:sz w:val="16"/>
                <w:szCs w:val="16"/>
                <w:lang w:eastAsia="en-GB"/>
              </w:rPr>
            </w:pPr>
            <m:oMathPara>
              <m:oMath>
                <m:sSub>
                  <m:sSubPr>
                    <m:ctrlPr>
                      <w:rPr>
                        <w:rFonts w:ascii="Cambria Math" w:hAnsi="Cambria Math"/>
                        <w:b w:val="0"/>
                        <w:bCs w:val="0"/>
                        <w:i/>
                        <w:lang w:eastAsia="en-GB"/>
                      </w:rPr>
                    </m:ctrlPr>
                  </m:sSubPr>
                  <m:e>
                    <m:r>
                      <m:rPr>
                        <m:sty m:val="bi"/>
                      </m:rPr>
                      <w:rPr>
                        <w:rFonts w:ascii="Cambria Math" w:hAnsi="Cambria Math"/>
                        <w:lang w:eastAsia="en-GB"/>
                      </w:rPr>
                      <m:t>QL</m:t>
                    </m:r>
                  </m:e>
                  <m:sub>
                    <m:r>
                      <m:rPr>
                        <m:sty m:val="bi"/>
                      </m:rPr>
                      <w:rPr>
                        <w:rFonts w:ascii="Cambria Math" w:hAnsi="Cambria Math"/>
                        <w:lang w:eastAsia="en-GB"/>
                      </w:rPr>
                      <m:t>a</m:t>
                    </m:r>
                  </m:sub>
                </m:sSub>
              </m:oMath>
            </m:oMathPara>
          </w:p>
        </w:tc>
        <w:tc>
          <w:tcPr>
            <w:tcW w:w="6085" w:type="dxa"/>
            <w:vAlign w:val="center"/>
          </w:tcPr>
          <w:p w14:paraId="3E082995" w14:textId="77777777" w:rsidR="00E70E96" w:rsidRPr="00CC5C40" w:rsidRDefault="00E70E96" w:rsidP="0064630C">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Coefficiente per il miglioramento previsto della qualità e delle caratteristiche delle prestazioni erogate agli utenti</w:t>
            </w:r>
          </w:p>
        </w:tc>
        <w:tc>
          <w:tcPr>
            <w:tcW w:w="1029" w:type="dxa"/>
            <w:vAlign w:val="center"/>
          </w:tcPr>
          <w:p w14:paraId="428027E6" w14:textId="6E2B1ED8" w:rsidR="00E70E96" w:rsidRPr="00CC5C40" w:rsidRDefault="0086008C" w:rsidP="0064630C">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Pr>
                <w:rFonts w:ascii="Tahoma" w:hAnsi="Tahoma" w:cs="Tahoma"/>
                <w:sz w:val="16"/>
                <w:szCs w:val="16"/>
                <w:lang w:eastAsia="en-GB"/>
              </w:rPr>
              <w:t>2,50</w:t>
            </w:r>
            <w:r w:rsidR="00E70E96" w:rsidRPr="00CC5C40">
              <w:rPr>
                <w:rFonts w:ascii="Tahoma" w:hAnsi="Tahoma" w:cs="Tahoma"/>
                <w:sz w:val="16"/>
                <w:szCs w:val="16"/>
                <w:lang w:eastAsia="en-GB"/>
              </w:rPr>
              <w:t>%</w:t>
            </w:r>
          </w:p>
        </w:tc>
        <w:tc>
          <w:tcPr>
            <w:tcW w:w="1029" w:type="dxa"/>
            <w:vAlign w:val="center"/>
          </w:tcPr>
          <w:p w14:paraId="49877127" w14:textId="0DD252B2" w:rsidR="00E70E96" w:rsidRPr="00CC5C40" w:rsidRDefault="0086008C" w:rsidP="0064630C">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Pr>
                <w:rFonts w:ascii="Tahoma" w:hAnsi="Tahoma" w:cs="Tahoma"/>
                <w:sz w:val="16"/>
                <w:szCs w:val="16"/>
                <w:lang w:eastAsia="en-GB"/>
              </w:rPr>
              <w:t>2,50</w:t>
            </w:r>
            <w:r w:rsidR="00E70E96" w:rsidRPr="00CC5C40">
              <w:rPr>
                <w:rFonts w:ascii="Tahoma" w:hAnsi="Tahoma" w:cs="Tahoma"/>
                <w:sz w:val="16"/>
                <w:szCs w:val="16"/>
                <w:lang w:eastAsia="en-GB"/>
              </w:rPr>
              <w:t>%</w:t>
            </w:r>
          </w:p>
        </w:tc>
      </w:tr>
      <w:tr w:rsidR="00E70E96" w:rsidRPr="00CC5C40" w14:paraId="6E28DF9F" w14:textId="77777777" w:rsidTr="00E70E96">
        <w:trPr>
          <w:trHeight w:val="699"/>
        </w:trPr>
        <w:tc>
          <w:tcPr>
            <w:cnfStyle w:val="001000000000" w:firstRow="0" w:lastRow="0" w:firstColumn="1" w:lastColumn="0" w:oddVBand="0" w:evenVBand="0" w:oddHBand="0" w:evenHBand="0" w:firstRowFirstColumn="0" w:firstRowLastColumn="0" w:lastRowFirstColumn="0" w:lastRowLastColumn="0"/>
            <w:tcW w:w="1475" w:type="dxa"/>
            <w:vAlign w:val="center"/>
          </w:tcPr>
          <w:p w14:paraId="4324BD93" w14:textId="619D4166" w:rsidR="00E70E96" w:rsidRPr="0064630C" w:rsidRDefault="000E440F" w:rsidP="0064630C">
            <w:pPr>
              <w:jc w:val="center"/>
              <w:rPr>
                <w:rFonts w:ascii="Tahoma" w:hAnsi="Tahoma" w:cs="Tahoma"/>
                <w:b w:val="0"/>
                <w:bCs w:val="0"/>
                <w:i/>
                <w:iCs/>
                <w:sz w:val="16"/>
                <w:szCs w:val="16"/>
                <w:lang w:eastAsia="en-GB"/>
              </w:rPr>
            </w:pPr>
            <m:oMathPara>
              <m:oMath>
                <m:sSub>
                  <m:sSubPr>
                    <m:ctrlPr>
                      <w:rPr>
                        <w:rFonts w:ascii="Cambria Math" w:hAnsi="Cambria Math"/>
                        <w:b w:val="0"/>
                        <w:bCs w:val="0"/>
                        <w:i/>
                        <w:lang w:eastAsia="en-GB"/>
                      </w:rPr>
                    </m:ctrlPr>
                  </m:sSubPr>
                  <m:e>
                    <m:r>
                      <m:rPr>
                        <m:sty m:val="bi"/>
                      </m:rPr>
                      <w:rPr>
                        <w:rFonts w:ascii="Cambria Math" w:hAnsi="Cambria Math"/>
                        <w:lang w:eastAsia="en-GB"/>
                      </w:rPr>
                      <m:t>PG</m:t>
                    </m:r>
                  </m:e>
                  <m:sub>
                    <m:r>
                      <m:rPr>
                        <m:sty m:val="bi"/>
                      </m:rPr>
                      <w:rPr>
                        <w:rFonts w:ascii="Cambria Math" w:hAnsi="Cambria Math"/>
                        <w:lang w:eastAsia="en-GB"/>
                      </w:rPr>
                      <m:t>a</m:t>
                    </m:r>
                  </m:sub>
                </m:sSub>
              </m:oMath>
            </m:oMathPara>
          </w:p>
        </w:tc>
        <w:tc>
          <w:tcPr>
            <w:tcW w:w="6085" w:type="dxa"/>
            <w:vAlign w:val="center"/>
          </w:tcPr>
          <w:p w14:paraId="7389933B" w14:textId="77777777" w:rsidR="00E70E96" w:rsidRPr="00CC5C40" w:rsidRDefault="00E70E96" w:rsidP="0064630C">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Coefficiente per la valorizzazione di modifiche del perimetro gestionale con riferimento ad aspetti tecnici e/o operativi</w:t>
            </w:r>
          </w:p>
        </w:tc>
        <w:tc>
          <w:tcPr>
            <w:tcW w:w="1029" w:type="dxa"/>
            <w:vAlign w:val="center"/>
          </w:tcPr>
          <w:p w14:paraId="70C2B6F5" w14:textId="77777777" w:rsidR="00E70E96" w:rsidRPr="00CC5C40" w:rsidRDefault="00E70E96" w:rsidP="0064630C">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0%</w:t>
            </w:r>
          </w:p>
        </w:tc>
        <w:tc>
          <w:tcPr>
            <w:tcW w:w="1029" w:type="dxa"/>
            <w:vAlign w:val="center"/>
          </w:tcPr>
          <w:p w14:paraId="78F1C53E" w14:textId="77777777" w:rsidR="00E70E96" w:rsidRPr="00CC5C40" w:rsidRDefault="00E70E96" w:rsidP="0064630C">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0%</w:t>
            </w:r>
          </w:p>
        </w:tc>
      </w:tr>
      <w:tr w:rsidR="00E70E96" w:rsidRPr="00CC5C40" w14:paraId="2F5B5D22" w14:textId="77777777" w:rsidTr="00E70E96">
        <w:trPr>
          <w:trHeight w:val="699"/>
        </w:trPr>
        <w:tc>
          <w:tcPr>
            <w:cnfStyle w:val="001000000000" w:firstRow="0" w:lastRow="0" w:firstColumn="1" w:lastColumn="0" w:oddVBand="0" w:evenVBand="0" w:oddHBand="0" w:evenHBand="0" w:firstRowFirstColumn="0" w:firstRowLastColumn="0" w:lastRowFirstColumn="0" w:lastRowLastColumn="0"/>
            <w:tcW w:w="1475" w:type="dxa"/>
            <w:vAlign w:val="center"/>
          </w:tcPr>
          <w:p w14:paraId="3117B998" w14:textId="22C7F5D9" w:rsidR="00E70E96" w:rsidRPr="0064630C" w:rsidRDefault="000E440F" w:rsidP="0064630C">
            <w:pPr>
              <w:jc w:val="center"/>
              <w:rPr>
                <w:rFonts w:ascii="Tahoma" w:hAnsi="Tahoma" w:cs="Tahoma"/>
                <w:b w:val="0"/>
                <w:bCs w:val="0"/>
                <w:sz w:val="16"/>
                <w:szCs w:val="16"/>
                <w:lang w:eastAsia="en-GB"/>
              </w:rPr>
            </w:pPr>
            <m:oMathPara>
              <m:oMath>
                <m:sSub>
                  <m:sSubPr>
                    <m:ctrlPr>
                      <w:rPr>
                        <w:rFonts w:ascii="Cambria Math" w:hAnsi="Cambria Math"/>
                        <w:b w:val="0"/>
                        <w:bCs w:val="0"/>
                        <w:i/>
                        <w:lang w:eastAsia="en-GB"/>
                      </w:rPr>
                    </m:ctrlPr>
                  </m:sSubPr>
                  <m:e>
                    <m:r>
                      <m:rPr>
                        <m:sty m:val="bi"/>
                      </m:rPr>
                      <w:rPr>
                        <w:rFonts w:ascii="Cambria Math" w:hAnsi="Cambria Math"/>
                        <w:lang w:eastAsia="en-GB"/>
                      </w:rPr>
                      <m:t>C</m:t>
                    </m:r>
                    <m:r>
                      <m:rPr>
                        <m:sty m:val="bi"/>
                      </m:rPr>
                      <w:rPr>
                        <w:rFonts w:ascii="Cambria Math" w:hAnsi="Cambria Math"/>
                        <w:lang w:eastAsia="en-GB"/>
                      </w:rPr>
                      <m:t>116</m:t>
                    </m:r>
                  </m:e>
                  <m:sub>
                    <m:r>
                      <m:rPr>
                        <m:sty m:val="bi"/>
                      </m:rPr>
                      <w:rPr>
                        <w:rFonts w:ascii="Cambria Math" w:hAnsi="Cambria Math"/>
                        <w:lang w:eastAsia="en-GB"/>
                      </w:rPr>
                      <m:t>a</m:t>
                    </m:r>
                  </m:sub>
                </m:sSub>
              </m:oMath>
            </m:oMathPara>
          </w:p>
        </w:tc>
        <w:tc>
          <w:tcPr>
            <w:tcW w:w="6085" w:type="dxa"/>
            <w:vAlign w:val="center"/>
          </w:tcPr>
          <w:p w14:paraId="7637C62C" w14:textId="77777777" w:rsidR="00E70E96" w:rsidRPr="00CC5C40" w:rsidRDefault="00E70E96" w:rsidP="0064630C">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 xml:space="preserve">Coefficiente per </w:t>
            </w:r>
            <w:r w:rsidRPr="00CC5C40">
              <w:rPr>
                <w:rFonts w:ascii="Tahoma" w:hAnsi="Tahoma" w:cs="Tahoma"/>
                <w:sz w:val="16"/>
                <w:szCs w:val="16"/>
              </w:rPr>
              <w:t>gli scostamenti attesi riconducibili alle novità normative introdotte dal decreto legislativo n. 116/20</w:t>
            </w:r>
          </w:p>
        </w:tc>
        <w:tc>
          <w:tcPr>
            <w:tcW w:w="1029" w:type="dxa"/>
            <w:vAlign w:val="center"/>
          </w:tcPr>
          <w:p w14:paraId="2BB076A6" w14:textId="77777777" w:rsidR="00E70E96" w:rsidRPr="00CC5C40" w:rsidRDefault="00E70E96" w:rsidP="0064630C">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sidRPr="00CC5C40">
              <w:rPr>
                <w:rFonts w:ascii="Tahoma" w:hAnsi="Tahoma" w:cs="Tahoma"/>
                <w:sz w:val="16"/>
                <w:szCs w:val="16"/>
                <w:lang w:eastAsia="en-GB"/>
              </w:rPr>
              <w:t>0%</w:t>
            </w:r>
          </w:p>
        </w:tc>
        <w:tc>
          <w:tcPr>
            <w:tcW w:w="1029" w:type="dxa"/>
            <w:vAlign w:val="center"/>
          </w:tcPr>
          <w:p w14:paraId="2BC49380" w14:textId="77777777" w:rsidR="00E70E96" w:rsidRPr="00CC5C40" w:rsidRDefault="00E70E96" w:rsidP="0064630C">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sidRPr="00CC5C40">
              <w:rPr>
                <w:rFonts w:ascii="Tahoma" w:hAnsi="Tahoma" w:cs="Tahoma"/>
                <w:sz w:val="16"/>
                <w:szCs w:val="16"/>
                <w:lang w:eastAsia="en-GB"/>
              </w:rPr>
              <w:t>0%</w:t>
            </w:r>
          </w:p>
        </w:tc>
      </w:tr>
      <w:tr w:rsidR="00E70E96" w:rsidRPr="00CC5C40" w14:paraId="18250CED" w14:textId="77777777" w:rsidTr="00E70E96">
        <w:trPr>
          <w:trHeight w:val="699"/>
        </w:trPr>
        <w:tc>
          <w:tcPr>
            <w:cnfStyle w:val="001000000000" w:firstRow="0" w:lastRow="0" w:firstColumn="1" w:lastColumn="0" w:oddVBand="0" w:evenVBand="0" w:oddHBand="0" w:evenHBand="0" w:firstRowFirstColumn="0" w:firstRowLastColumn="0" w:lastRowFirstColumn="0" w:lastRowLastColumn="0"/>
            <w:tcW w:w="1475" w:type="dxa"/>
            <w:vAlign w:val="center"/>
          </w:tcPr>
          <w:p w14:paraId="54F309A1" w14:textId="684BE50F" w:rsidR="00E70E96" w:rsidRDefault="000E440F" w:rsidP="00E70E96">
            <w:pPr>
              <w:jc w:val="center"/>
              <w:rPr>
                <w:lang w:eastAsia="en-GB"/>
              </w:rPr>
            </w:pPr>
            <m:oMathPara>
              <m:oMath>
                <m:sSub>
                  <m:sSubPr>
                    <m:ctrlPr>
                      <w:rPr>
                        <w:rFonts w:ascii="Cambria Math" w:hAnsi="Cambria Math"/>
                        <w:b w:val="0"/>
                        <w:bCs w:val="0"/>
                        <w:i/>
                        <w:lang w:eastAsia="en-GB"/>
                      </w:rPr>
                    </m:ctrlPr>
                  </m:sSubPr>
                  <m:e>
                    <m:r>
                      <m:rPr>
                        <m:sty m:val="bi"/>
                      </m:rPr>
                      <w:rPr>
                        <w:rFonts w:ascii="Cambria Math" w:hAnsi="Cambria Math"/>
                        <w:lang w:eastAsia="en-GB"/>
                      </w:rPr>
                      <m:t>CRI</m:t>
                    </m:r>
                  </m:e>
                  <m:sub>
                    <m:r>
                      <m:rPr>
                        <m:sty m:val="bi"/>
                      </m:rPr>
                      <w:rPr>
                        <w:rFonts w:ascii="Cambria Math" w:hAnsi="Cambria Math"/>
                        <w:lang w:eastAsia="en-GB"/>
                      </w:rPr>
                      <m:t>a</m:t>
                    </m:r>
                  </m:sub>
                </m:sSub>
              </m:oMath>
            </m:oMathPara>
          </w:p>
        </w:tc>
        <w:tc>
          <w:tcPr>
            <w:tcW w:w="6085" w:type="dxa"/>
            <w:vAlign w:val="center"/>
          </w:tcPr>
          <w:p w14:paraId="0AC546F9" w14:textId="429F55FA" w:rsidR="00E70E96" w:rsidRPr="00CC5C40" w:rsidRDefault="00E70E96" w:rsidP="00E70E96">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Coefficiente per tenere conto dei maggiori oneri sostenuti per il servizio integrato di gestione dei rifiuti negli anni 2022 e 2023 riconducibili alla dinamica dei prezzi dei fattori della produzione</w:t>
            </w:r>
          </w:p>
        </w:tc>
        <w:tc>
          <w:tcPr>
            <w:tcW w:w="1029" w:type="dxa"/>
            <w:vAlign w:val="center"/>
          </w:tcPr>
          <w:p w14:paraId="4D407DFF" w14:textId="1DD6420C" w:rsidR="00E70E96" w:rsidRPr="00CC5C40" w:rsidRDefault="0086008C" w:rsidP="00E70E96">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Pr>
                <w:rFonts w:ascii="Tahoma" w:hAnsi="Tahoma" w:cs="Tahoma"/>
                <w:sz w:val="16"/>
                <w:szCs w:val="16"/>
                <w:lang w:eastAsia="en-GB"/>
              </w:rPr>
              <w:t>4,50</w:t>
            </w:r>
            <w:r w:rsidR="00E70E96" w:rsidRPr="00CC5C40">
              <w:rPr>
                <w:rFonts w:ascii="Tahoma" w:hAnsi="Tahoma" w:cs="Tahoma"/>
                <w:sz w:val="16"/>
                <w:szCs w:val="16"/>
                <w:lang w:eastAsia="en-GB"/>
              </w:rPr>
              <w:t>%</w:t>
            </w:r>
          </w:p>
        </w:tc>
        <w:tc>
          <w:tcPr>
            <w:tcW w:w="1029" w:type="dxa"/>
            <w:vAlign w:val="center"/>
          </w:tcPr>
          <w:p w14:paraId="3E2E7AAD" w14:textId="6BD29432" w:rsidR="00E70E96" w:rsidRPr="00CC5C40" w:rsidRDefault="0086008C" w:rsidP="00E70E96">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Pr>
                <w:rFonts w:ascii="Tahoma" w:hAnsi="Tahoma" w:cs="Tahoma"/>
                <w:sz w:val="16"/>
                <w:szCs w:val="16"/>
                <w:lang w:eastAsia="en-GB"/>
              </w:rPr>
              <w:t>4,50</w:t>
            </w:r>
            <w:r w:rsidR="00E70E96" w:rsidRPr="00CC5C40">
              <w:rPr>
                <w:rFonts w:ascii="Tahoma" w:hAnsi="Tahoma" w:cs="Tahoma"/>
                <w:sz w:val="16"/>
                <w:szCs w:val="16"/>
                <w:lang w:eastAsia="en-GB"/>
              </w:rPr>
              <w:t>%</w:t>
            </w:r>
          </w:p>
        </w:tc>
      </w:tr>
      <w:tr w:rsidR="00E70E96" w:rsidRPr="00CC5C40" w14:paraId="4E6B043A" w14:textId="77777777" w:rsidTr="00E70E96">
        <w:trPr>
          <w:trHeight w:val="699"/>
        </w:trPr>
        <w:tc>
          <w:tcPr>
            <w:cnfStyle w:val="001000000000" w:firstRow="0" w:lastRow="0" w:firstColumn="1" w:lastColumn="0" w:oddVBand="0" w:evenVBand="0" w:oddHBand="0" w:evenHBand="0" w:firstRowFirstColumn="0" w:firstRowLastColumn="0" w:lastRowFirstColumn="0" w:lastRowLastColumn="0"/>
            <w:tcW w:w="1475" w:type="dxa"/>
            <w:vAlign w:val="center"/>
          </w:tcPr>
          <w:p w14:paraId="5F10ADB4" w14:textId="441FB8F2" w:rsidR="00E70E96" w:rsidRPr="003F69A6" w:rsidRDefault="000E440F" w:rsidP="00E70E96">
            <w:pPr>
              <w:jc w:val="center"/>
              <w:rPr>
                <w:rFonts w:ascii="Tahoma" w:hAnsi="Tahoma" w:cs="Tahoma"/>
                <w:sz w:val="16"/>
                <w:szCs w:val="16"/>
                <w:lang w:eastAsia="en-GB"/>
              </w:rPr>
            </w:pPr>
            <m:oMathPara>
              <m:oMath>
                <m:sSub>
                  <m:sSubPr>
                    <m:ctrlPr>
                      <w:rPr>
                        <w:rFonts w:ascii="Cambria Math" w:eastAsia="CambriaMath" w:hAnsi="Cambria Math" w:cs="CambriaMath"/>
                        <w:b w:val="0"/>
                        <w:bCs w:val="0"/>
                        <w:i/>
                        <w:szCs w:val="20"/>
                      </w:rPr>
                    </m:ctrlPr>
                  </m:sSubPr>
                  <m:e>
                    <m:r>
                      <m:rPr>
                        <m:sty m:val="bi"/>
                      </m:rPr>
                      <w:rPr>
                        <w:rFonts w:ascii="Cambria Math" w:eastAsia="CambriaMath" w:hAnsi="Cambria Math" w:cs="CambriaMath" w:hint="eastAsia"/>
                        <w:szCs w:val="20"/>
                      </w:rPr>
                      <m:t>ρ</m:t>
                    </m:r>
                  </m:e>
                  <m:sub>
                    <m:r>
                      <m:rPr>
                        <m:sty m:val="bi"/>
                      </m:rPr>
                      <w:rPr>
                        <w:rFonts w:ascii="Cambria Math" w:eastAsia="CambriaMath" w:hAnsi="Cambria Math" w:cs="CambriaMath"/>
                        <w:szCs w:val="20"/>
                      </w:rPr>
                      <m:t>a</m:t>
                    </m:r>
                  </m:sub>
                </m:sSub>
              </m:oMath>
            </m:oMathPara>
          </w:p>
        </w:tc>
        <w:tc>
          <w:tcPr>
            <w:tcW w:w="6085" w:type="dxa"/>
            <w:vAlign w:val="center"/>
          </w:tcPr>
          <w:p w14:paraId="1DE4AFC1" w14:textId="77777777" w:rsidR="00E70E96" w:rsidRPr="00CC5C40" w:rsidRDefault="00E70E96" w:rsidP="00E70E96">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Parametro per la determinazione del limite alla crescita delle tariffe</w:t>
            </w:r>
          </w:p>
        </w:tc>
        <w:tc>
          <w:tcPr>
            <w:tcW w:w="1029" w:type="dxa"/>
            <w:vAlign w:val="center"/>
          </w:tcPr>
          <w:p w14:paraId="65D66A48" w14:textId="7F0E6A74" w:rsidR="00E70E96" w:rsidRPr="00CC5C40" w:rsidRDefault="00CC5C40" w:rsidP="00E70E96">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sidRPr="00CC5C40">
              <w:rPr>
                <w:rFonts w:ascii="Tahoma" w:hAnsi="Tahoma" w:cs="Tahoma"/>
                <w:b/>
                <w:bCs/>
                <w:sz w:val="16"/>
                <w:szCs w:val="16"/>
                <w:lang w:eastAsia="en-GB"/>
              </w:rPr>
              <w:t>9</w:t>
            </w:r>
            <w:r w:rsidR="00E70E96" w:rsidRPr="00CC5C40">
              <w:rPr>
                <w:rFonts w:ascii="Tahoma" w:hAnsi="Tahoma" w:cs="Tahoma"/>
                <w:b/>
                <w:bCs/>
                <w:sz w:val="16"/>
                <w:szCs w:val="16"/>
                <w:lang w:eastAsia="en-GB"/>
              </w:rPr>
              <w:t>,</w:t>
            </w:r>
            <w:r w:rsidR="008F4987">
              <w:rPr>
                <w:rFonts w:ascii="Tahoma" w:hAnsi="Tahoma" w:cs="Tahoma"/>
                <w:b/>
                <w:bCs/>
                <w:sz w:val="16"/>
                <w:szCs w:val="16"/>
                <w:lang w:eastAsia="en-GB"/>
              </w:rPr>
              <w:t>6</w:t>
            </w:r>
            <w:r w:rsidR="00E70E96" w:rsidRPr="00CC5C40">
              <w:rPr>
                <w:rFonts w:ascii="Tahoma" w:hAnsi="Tahoma" w:cs="Tahoma"/>
                <w:b/>
                <w:bCs/>
                <w:sz w:val="16"/>
                <w:szCs w:val="16"/>
                <w:lang w:eastAsia="en-GB"/>
              </w:rPr>
              <w:t>%</w:t>
            </w:r>
          </w:p>
        </w:tc>
        <w:tc>
          <w:tcPr>
            <w:tcW w:w="1029" w:type="dxa"/>
            <w:vAlign w:val="center"/>
          </w:tcPr>
          <w:p w14:paraId="6DB83235" w14:textId="71D311DA" w:rsidR="00E70E96" w:rsidRPr="00CC5C40" w:rsidRDefault="00CC5C40" w:rsidP="00E70E96">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sidRPr="00CC5C40">
              <w:rPr>
                <w:rFonts w:ascii="Tahoma" w:hAnsi="Tahoma" w:cs="Tahoma"/>
                <w:b/>
                <w:bCs/>
                <w:sz w:val="16"/>
                <w:szCs w:val="16"/>
                <w:lang w:eastAsia="en-GB"/>
              </w:rPr>
              <w:t>9</w:t>
            </w:r>
            <w:r w:rsidR="00E70E96" w:rsidRPr="00CC5C40">
              <w:rPr>
                <w:rFonts w:ascii="Tahoma" w:hAnsi="Tahoma" w:cs="Tahoma"/>
                <w:b/>
                <w:bCs/>
                <w:sz w:val="16"/>
                <w:szCs w:val="16"/>
                <w:lang w:eastAsia="en-GB"/>
              </w:rPr>
              <w:t>,</w:t>
            </w:r>
            <w:r w:rsidR="008F4987">
              <w:rPr>
                <w:rFonts w:ascii="Tahoma" w:hAnsi="Tahoma" w:cs="Tahoma"/>
                <w:b/>
                <w:bCs/>
                <w:sz w:val="16"/>
                <w:szCs w:val="16"/>
                <w:lang w:eastAsia="en-GB"/>
              </w:rPr>
              <w:t>6</w:t>
            </w:r>
            <w:r w:rsidR="00E70E96" w:rsidRPr="00CC5C40">
              <w:rPr>
                <w:rFonts w:ascii="Tahoma" w:hAnsi="Tahoma" w:cs="Tahoma"/>
                <w:b/>
                <w:bCs/>
                <w:sz w:val="16"/>
                <w:szCs w:val="16"/>
                <w:lang w:eastAsia="en-GB"/>
              </w:rPr>
              <w:t>%</w:t>
            </w:r>
          </w:p>
        </w:tc>
      </w:tr>
    </w:tbl>
    <w:p w14:paraId="7A8E1157" w14:textId="65AA8383" w:rsidR="00700758" w:rsidRPr="00EA0792" w:rsidRDefault="00700758" w:rsidP="00700758">
      <w:pPr>
        <w:rPr>
          <w:lang w:eastAsia="en-GB"/>
        </w:rPr>
      </w:pPr>
      <w:r w:rsidRPr="00EA0792">
        <w:rPr>
          <w:lang w:eastAsia="en-GB"/>
        </w:rPr>
        <w:t>Le tariffe calcolate secondo il MTR</w:t>
      </w:r>
      <w:r>
        <w:rPr>
          <w:lang w:eastAsia="en-GB"/>
        </w:rPr>
        <w:t>-2</w:t>
      </w:r>
      <w:r w:rsidRPr="00EA0792">
        <w:rPr>
          <w:lang w:eastAsia="en-GB"/>
        </w:rPr>
        <w:t xml:space="preserve"> </w:t>
      </w:r>
      <w:r w:rsidR="00E70E96">
        <w:rPr>
          <w:lang w:eastAsia="en-GB"/>
        </w:rPr>
        <w:t xml:space="preserve">aggiornato </w:t>
      </w:r>
      <w:r w:rsidRPr="00EA0792">
        <w:rPr>
          <w:lang w:eastAsia="en-GB"/>
        </w:rPr>
        <w:t xml:space="preserve">per </w:t>
      </w:r>
      <w:r>
        <w:rPr>
          <w:lang w:eastAsia="en-GB"/>
        </w:rPr>
        <w:t xml:space="preserve">l’anno </w:t>
      </w:r>
      <w:r w:rsidRPr="006B3897">
        <w:rPr>
          <w:lang w:eastAsia="en-GB"/>
        </w:rPr>
        <w:t>202</w:t>
      </w:r>
      <w:r w:rsidR="00E70E96">
        <w:rPr>
          <w:lang w:eastAsia="en-GB"/>
        </w:rPr>
        <w:t>4</w:t>
      </w:r>
      <w:r w:rsidRPr="006B3897">
        <w:rPr>
          <w:lang w:eastAsia="en-GB"/>
        </w:rPr>
        <w:t>,</w:t>
      </w:r>
      <w:r w:rsidRPr="00EA0792">
        <w:rPr>
          <w:lang w:eastAsia="en-GB"/>
        </w:rPr>
        <w:t xml:space="preserve"> così come rappresentate nel PEF allegato, ammontano ad un importo inferiore rispetto all’importo massimo sopra determinato e pertanto il limite alla variazione annuale delle entrate tariffarie risulta rispettato.</w:t>
      </w:r>
    </w:p>
    <w:p w14:paraId="416E2A40" w14:textId="77777777" w:rsidR="00700758" w:rsidRDefault="00700758" w:rsidP="00700758">
      <w:pPr>
        <w:jc w:val="left"/>
        <w:rPr>
          <w:rFonts w:asciiTheme="minorHAnsi" w:hAnsiTheme="minorHAnsi"/>
          <w:lang w:eastAsia="en-GB"/>
        </w:rPr>
      </w:pPr>
    </w:p>
    <w:p w14:paraId="3A57BF14" w14:textId="77777777" w:rsidR="00700758" w:rsidRDefault="00700758" w:rsidP="00DA3A0C">
      <w:pPr>
        <w:pStyle w:val="Titolo2"/>
      </w:pPr>
      <w:bookmarkStart w:id="32" w:name="_Toc43722729"/>
      <w:bookmarkStart w:id="33" w:name="_Toc93658151"/>
      <w:bookmarkStart w:id="34" w:name="_Toc163127419"/>
      <w:r>
        <w:t>Costi operativi di gestione associati a specifiche finalità</w:t>
      </w:r>
      <w:bookmarkEnd w:id="32"/>
      <w:bookmarkEnd w:id="33"/>
      <w:bookmarkEnd w:id="34"/>
    </w:p>
    <w:p w14:paraId="534A3656" w14:textId="63C51168" w:rsidR="00700758" w:rsidRDefault="00700758" w:rsidP="00700758">
      <w:pPr>
        <w:rPr>
          <w:lang w:eastAsia="en-GB"/>
        </w:rPr>
      </w:pPr>
      <w:r>
        <w:rPr>
          <w:lang w:eastAsia="en-GB"/>
        </w:rPr>
        <w:t>In conformità a quanto previsto dall’art.</w:t>
      </w:r>
      <w:r w:rsidR="005A2946">
        <w:rPr>
          <w:lang w:eastAsia="en-GB"/>
        </w:rPr>
        <w:t xml:space="preserve"> </w:t>
      </w:r>
      <w:r>
        <w:rPr>
          <w:lang w:eastAsia="en-GB"/>
        </w:rPr>
        <w:t>9 del MTR-2</w:t>
      </w:r>
      <w:r w:rsidR="00E70E96">
        <w:rPr>
          <w:lang w:eastAsia="en-GB"/>
        </w:rPr>
        <w:t xml:space="preserve"> aggiornato</w:t>
      </w:r>
      <w:r>
        <w:rPr>
          <w:lang w:eastAsia="en-GB"/>
        </w:rPr>
        <w:t xml:space="preserve">, l’Ente, anche su proposta del </w:t>
      </w:r>
      <w:r w:rsidR="005A2946">
        <w:rPr>
          <w:lang w:eastAsia="en-GB"/>
        </w:rPr>
        <w:t>G</w:t>
      </w:r>
      <w:r>
        <w:rPr>
          <w:lang w:eastAsia="en-GB"/>
        </w:rPr>
        <w:t>estore, ha valorizzato le componenti di natura previsionale come di seguito specificato.</w:t>
      </w:r>
    </w:p>
    <w:p w14:paraId="61135370" w14:textId="77777777" w:rsidR="00700758" w:rsidRDefault="00700758" w:rsidP="00700758">
      <w:pPr>
        <w:rPr>
          <w:lang w:eastAsia="en-GB"/>
        </w:rPr>
      </w:pPr>
    </w:p>
    <w:p w14:paraId="3D74D37E" w14:textId="29E343E6" w:rsidR="00700758" w:rsidRDefault="00700758" w:rsidP="00700758">
      <w:pPr>
        <w:pStyle w:val="Titolo3"/>
      </w:pPr>
      <w:bookmarkStart w:id="35" w:name="_Toc93658152"/>
      <w:bookmarkStart w:id="36" w:name="_Ref96415235"/>
      <w:bookmarkStart w:id="37" w:name="_Toc163127420"/>
      <w:r>
        <w:t xml:space="preserve">Componente previsionale </w:t>
      </w:r>
      <m:oMath>
        <m:sSub>
          <m:sSubPr>
            <m:ctrlPr>
              <w:rPr>
                <w:rFonts w:ascii="Cambria Math" w:hAnsi="Cambria Math"/>
                <w:i/>
              </w:rPr>
            </m:ctrlPr>
          </m:sSubPr>
          <m:e>
            <m:r>
              <m:rPr>
                <m:sty m:val="bi"/>
              </m:rPr>
              <w:rPr>
                <w:rFonts w:ascii="Cambria Math" w:hAnsi="Cambria Math"/>
              </w:rPr>
              <m:t>CO</m:t>
            </m:r>
          </m:e>
          <m:sub>
            <m:r>
              <m:rPr>
                <m:sty m:val="bi"/>
              </m:rPr>
              <w:rPr>
                <w:rFonts w:ascii="Cambria Math" w:hAnsi="Cambria Math"/>
              </w:rPr>
              <m:t>116</m:t>
            </m:r>
          </m:sub>
        </m:sSub>
      </m:oMath>
      <w:bookmarkEnd w:id="35"/>
      <w:bookmarkEnd w:id="36"/>
      <w:bookmarkEnd w:id="37"/>
      <w:r>
        <w:t xml:space="preserve">  </w:t>
      </w:r>
    </w:p>
    <w:p w14:paraId="45E26084" w14:textId="5FF73E55" w:rsidR="00700758" w:rsidRDefault="00700758" w:rsidP="00700758">
      <w:pPr>
        <w:rPr>
          <w:lang w:eastAsia="en-GB"/>
        </w:rPr>
      </w:pPr>
      <w:r>
        <w:rPr>
          <w:lang w:eastAsia="en-GB"/>
        </w:rPr>
        <w:t xml:space="preserve">Con riferimento a quanto evidenziato dal Gestore, </w:t>
      </w:r>
      <w:r w:rsidRPr="00EA0792">
        <w:rPr>
          <w:lang w:eastAsia="en-GB"/>
        </w:rPr>
        <w:t>l’</w:t>
      </w:r>
      <w:r w:rsidR="005A2946">
        <w:rPr>
          <w:lang w:eastAsia="en-GB"/>
        </w:rPr>
        <w:t>E</w:t>
      </w:r>
      <w:r w:rsidRPr="00EA0792">
        <w:rPr>
          <w:lang w:eastAsia="en-GB"/>
        </w:rPr>
        <w:t>nte non ha previsto</w:t>
      </w:r>
      <w:r>
        <w:rPr>
          <w:lang w:eastAsia="en-GB"/>
        </w:rPr>
        <w:t xml:space="preserve"> </w:t>
      </w:r>
      <w:r w:rsidR="00CB2C84">
        <w:rPr>
          <w:lang w:eastAsia="en-GB"/>
        </w:rPr>
        <w:t>la</w:t>
      </w:r>
      <w:r>
        <w:rPr>
          <w:lang w:eastAsia="en-GB"/>
        </w:rPr>
        <w:t xml:space="preserve"> valorizzazione delle componenti di costo di natura previsionale </w:t>
      </w:r>
      <m:oMath>
        <m:sSubSup>
          <m:sSubSupPr>
            <m:ctrlPr>
              <w:rPr>
                <w:rFonts w:ascii="Cambria Math" w:hAnsi="Cambria Math"/>
                <w:i/>
              </w:rPr>
            </m:ctrlPr>
          </m:sSubSupPr>
          <m:e>
            <m:r>
              <w:rPr>
                <w:rFonts w:ascii="Cambria Math" w:hAnsi="Cambria Math"/>
              </w:rPr>
              <m:t>CO</m:t>
            </m:r>
          </m:e>
          <m:sub>
            <m:r>
              <w:rPr>
                <w:rFonts w:ascii="Cambria Math" w:hAnsi="Cambria Math"/>
              </w:rPr>
              <m:t>116,TV,a</m:t>
            </m:r>
          </m:sub>
          <m:sup>
            <m:r>
              <w:rPr>
                <w:rFonts w:ascii="Cambria Math" w:hAnsi="Cambria Math"/>
              </w:rPr>
              <m:t>exp</m:t>
            </m:r>
          </m:sup>
        </m:sSubSup>
      </m:oMath>
      <w:r w:rsidR="005A2946">
        <w:t xml:space="preserve"> e </w:t>
      </w:r>
      <m:oMath>
        <m:sSubSup>
          <m:sSubSupPr>
            <m:ctrlPr>
              <w:rPr>
                <w:rFonts w:ascii="Cambria Math" w:hAnsi="Cambria Math"/>
                <w:i/>
              </w:rPr>
            </m:ctrlPr>
          </m:sSubSupPr>
          <m:e>
            <m:r>
              <w:rPr>
                <w:rFonts w:ascii="Cambria Math" w:hAnsi="Cambria Math"/>
              </w:rPr>
              <m:t>CO</m:t>
            </m:r>
          </m:e>
          <m:sub>
            <m:r>
              <w:rPr>
                <w:rFonts w:ascii="Cambria Math" w:hAnsi="Cambria Math"/>
              </w:rPr>
              <m:t>116,TF,a</m:t>
            </m:r>
          </m:sub>
          <m:sup>
            <m:r>
              <w:rPr>
                <w:rFonts w:ascii="Cambria Math" w:hAnsi="Cambria Math"/>
              </w:rPr>
              <m:t>exp</m:t>
            </m:r>
          </m:sup>
        </m:sSubSup>
      </m:oMath>
      <w:r>
        <w:rPr>
          <w:lang w:eastAsia="en-GB"/>
        </w:rPr>
        <w:t>.</w:t>
      </w:r>
    </w:p>
    <w:p w14:paraId="423F6EEC" w14:textId="77777777" w:rsidR="00FA0F64" w:rsidRPr="00CB2C84" w:rsidRDefault="00FA0F64" w:rsidP="00700758">
      <w:pPr>
        <w:rPr>
          <w:color w:val="FF0000"/>
          <w:lang w:eastAsia="en-GB"/>
        </w:rPr>
      </w:pPr>
    </w:p>
    <w:p w14:paraId="7A777EC2" w14:textId="04F86C90" w:rsidR="00700758" w:rsidRDefault="00700758" w:rsidP="00700758">
      <w:pPr>
        <w:pStyle w:val="Titolo3"/>
      </w:pPr>
      <w:bookmarkStart w:id="38" w:name="_Toc93658153"/>
      <w:bookmarkStart w:id="39" w:name="_Ref96415126"/>
      <w:bookmarkStart w:id="40" w:name="_Toc163127421"/>
      <w:r>
        <w:t xml:space="preserve">Componente previsionale </w:t>
      </w:r>
      <m:oMath>
        <m:r>
          <m:rPr>
            <m:sty m:val="bi"/>
          </m:rPr>
          <w:rPr>
            <w:rFonts w:ascii="Cambria Math" w:hAnsi="Cambria Math"/>
          </w:rPr>
          <m:t>CQ</m:t>
        </m:r>
      </m:oMath>
      <w:bookmarkEnd w:id="38"/>
      <w:bookmarkEnd w:id="39"/>
      <w:bookmarkEnd w:id="40"/>
      <w:r>
        <w:t xml:space="preserve">  </w:t>
      </w:r>
    </w:p>
    <w:p w14:paraId="5546BF6D" w14:textId="312ADCF5" w:rsidR="00700758" w:rsidRDefault="00700758" w:rsidP="00700758">
      <w:pPr>
        <w:rPr>
          <w:lang w:eastAsia="en-GB"/>
        </w:rPr>
      </w:pPr>
      <w:r>
        <w:rPr>
          <w:lang w:eastAsia="en-GB"/>
        </w:rPr>
        <w:t xml:space="preserve">Con riferimento a quanto evidenziato dal Gestore, </w:t>
      </w:r>
      <w:r w:rsidRPr="00EA0792">
        <w:rPr>
          <w:lang w:eastAsia="en-GB"/>
        </w:rPr>
        <w:t>l’</w:t>
      </w:r>
      <w:r w:rsidR="00CB2C84">
        <w:rPr>
          <w:lang w:eastAsia="en-GB"/>
        </w:rPr>
        <w:t>E</w:t>
      </w:r>
      <w:r w:rsidRPr="00EA0792">
        <w:rPr>
          <w:lang w:eastAsia="en-GB"/>
        </w:rPr>
        <w:t>nte ha previsto</w:t>
      </w:r>
      <w:r>
        <w:rPr>
          <w:lang w:eastAsia="en-GB"/>
        </w:rPr>
        <w:t xml:space="preserve"> </w:t>
      </w:r>
      <w:r w:rsidR="00CB2C84">
        <w:rPr>
          <w:lang w:eastAsia="en-GB"/>
        </w:rPr>
        <w:t>la</w:t>
      </w:r>
      <w:r>
        <w:rPr>
          <w:lang w:eastAsia="en-GB"/>
        </w:rPr>
        <w:t xml:space="preserve"> valorizzazione delle componenti di costo di natura previsionale</w:t>
      </w:r>
      <w:r w:rsidR="00CB2C84">
        <w:rPr>
          <w:lang w:eastAsia="en-GB"/>
        </w:rPr>
        <w:t xml:space="preserve"> </w:t>
      </w:r>
      <m:oMath>
        <m:sSubSup>
          <m:sSubSupPr>
            <m:ctrlPr>
              <w:rPr>
                <w:rFonts w:ascii="Cambria Math" w:hAnsi="Cambria Math"/>
                <w:i/>
              </w:rPr>
            </m:ctrlPr>
          </m:sSubSupPr>
          <m:e>
            <m:r>
              <w:rPr>
                <w:rFonts w:ascii="Cambria Math" w:hAnsi="Cambria Math"/>
              </w:rPr>
              <m:t>CQ</m:t>
            </m:r>
          </m:e>
          <m:sub>
            <m:r>
              <w:rPr>
                <w:rFonts w:ascii="Cambria Math" w:hAnsi="Cambria Math"/>
              </w:rPr>
              <m:t>TV,a</m:t>
            </m:r>
          </m:sub>
          <m:sup>
            <m:r>
              <w:rPr>
                <w:rFonts w:ascii="Cambria Math" w:hAnsi="Cambria Math"/>
              </w:rPr>
              <m:t>exp</m:t>
            </m:r>
          </m:sup>
        </m:sSubSup>
      </m:oMath>
      <w:r w:rsidR="00CB2C84">
        <w:t xml:space="preserve"> e </w:t>
      </w:r>
      <m:oMath>
        <m:sSubSup>
          <m:sSubSupPr>
            <m:ctrlPr>
              <w:rPr>
                <w:rFonts w:ascii="Cambria Math" w:hAnsi="Cambria Math"/>
                <w:i/>
              </w:rPr>
            </m:ctrlPr>
          </m:sSubSupPr>
          <m:e>
            <m:r>
              <w:rPr>
                <w:rFonts w:ascii="Cambria Math" w:hAnsi="Cambria Math"/>
              </w:rPr>
              <m:t>CQ</m:t>
            </m:r>
          </m:e>
          <m:sub>
            <m:r>
              <w:rPr>
                <w:rFonts w:ascii="Cambria Math" w:hAnsi="Cambria Math"/>
              </w:rPr>
              <m:t>TF,a</m:t>
            </m:r>
          </m:sub>
          <m:sup>
            <m:r>
              <w:rPr>
                <w:rFonts w:ascii="Cambria Math" w:hAnsi="Cambria Math"/>
              </w:rPr>
              <m:t>exp</m:t>
            </m:r>
          </m:sup>
        </m:sSubSup>
      </m:oMath>
      <w:r>
        <w:rPr>
          <w:lang w:eastAsia="en-GB"/>
        </w:rPr>
        <w:t>.</w:t>
      </w:r>
    </w:p>
    <w:p w14:paraId="07395AF5" w14:textId="77777777" w:rsidR="00CB6A2E" w:rsidRDefault="00CB6A2E" w:rsidP="00CB2C84">
      <w:pPr>
        <w:rPr>
          <w:lang w:eastAsia="en-GB"/>
        </w:rPr>
      </w:pPr>
    </w:p>
    <w:p w14:paraId="475F8933" w14:textId="77777777" w:rsidR="00700758" w:rsidRDefault="00700758" w:rsidP="00700758">
      <w:pPr>
        <w:pStyle w:val="Titolo3"/>
      </w:pPr>
      <w:bookmarkStart w:id="41" w:name="_Toc93658154"/>
      <w:bookmarkStart w:id="42" w:name="_Ref96415150"/>
      <w:bookmarkStart w:id="43" w:name="_Toc163127422"/>
      <w:r>
        <w:t xml:space="preserve">Componente previsionale </w:t>
      </w:r>
      <w:r w:rsidRPr="00B12863">
        <w:rPr>
          <w:rFonts w:ascii="Cambria Math" w:hAnsi="Cambria Math"/>
          <w:i/>
          <w:iCs w:val="0"/>
        </w:rPr>
        <w:t>COI</w:t>
      </w:r>
      <w:bookmarkEnd w:id="41"/>
      <w:bookmarkEnd w:id="42"/>
      <w:bookmarkEnd w:id="43"/>
      <w:r>
        <w:t xml:space="preserve">  </w:t>
      </w:r>
    </w:p>
    <w:p w14:paraId="371F53ED" w14:textId="11D86617" w:rsidR="00700758" w:rsidRDefault="00700758" w:rsidP="00CB6A2E">
      <w:pPr>
        <w:rPr>
          <w:lang w:eastAsia="en-GB"/>
        </w:rPr>
      </w:pPr>
      <w:r>
        <w:rPr>
          <w:lang w:eastAsia="en-GB"/>
        </w:rPr>
        <w:t xml:space="preserve">Con riferimento a quanto evidenziato dal Gestore, </w:t>
      </w:r>
      <w:r w:rsidRPr="00EA0792">
        <w:rPr>
          <w:lang w:eastAsia="en-GB"/>
        </w:rPr>
        <w:t>l’</w:t>
      </w:r>
      <w:r w:rsidR="00CB6A2E">
        <w:rPr>
          <w:lang w:eastAsia="en-GB"/>
        </w:rPr>
        <w:t>E</w:t>
      </w:r>
      <w:r w:rsidRPr="00EA0792">
        <w:rPr>
          <w:lang w:eastAsia="en-GB"/>
        </w:rPr>
        <w:t>nte ha previsto</w:t>
      </w:r>
      <w:r>
        <w:rPr>
          <w:lang w:eastAsia="en-GB"/>
        </w:rPr>
        <w:t xml:space="preserve"> </w:t>
      </w:r>
      <w:r w:rsidR="00CB6A2E">
        <w:rPr>
          <w:lang w:eastAsia="en-GB"/>
        </w:rPr>
        <w:t>la</w:t>
      </w:r>
      <w:r>
        <w:rPr>
          <w:lang w:eastAsia="en-GB"/>
        </w:rPr>
        <w:t xml:space="preserve"> valorizzazione delle componenti di costo di natura previsionale </w:t>
      </w:r>
      <m:oMath>
        <m:sSubSup>
          <m:sSubSupPr>
            <m:ctrlPr>
              <w:rPr>
                <w:rFonts w:ascii="Cambria Math" w:hAnsi="Cambria Math"/>
                <w:i/>
              </w:rPr>
            </m:ctrlPr>
          </m:sSubSupPr>
          <m:e>
            <m:r>
              <w:rPr>
                <w:rFonts w:ascii="Cambria Math" w:hAnsi="Cambria Math"/>
              </w:rPr>
              <m:t>COI</m:t>
            </m:r>
          </m:e>
          <m:sub>
            <m:r>
              <w:rPr>
                <w:rFonts w:ascii="Cambria Math" w:hAnsi="Cambria Math"/>
              </w:rPr>
              <m:t>TV,a</m:t>
            </m:r>
          </m:sub>
          <m:sup>
            <m:r>
              <w:rPr>
                <w:rFonts w:ascii="Cambria Math" w:hAnsi="Cambria Math"/>
              </w:rPr>
              <m:t>exp</m:t>
            </m:r>
          </m:sup>
        </m:sSubSup>
      </m:oMath>
      <w:r w:rsidR="00CB6A2E" w:rsidRPr="00CB6A2E">
        <w:rPr>
          <w:rFonts w:ascii="Cambria Math" w:hAnsi="Cambria Math"/>
          <w:i/>
        </w:rPr>
        <w:t xml:space="preserve"> </w:t>
      </w:r>
      <w:r w:rsidR="00CB6A2E" w:rsidRPr="00CB6A2E">
        <w:rPr>
          <w:lang w:eastAsia="en-GB"/>
        </w:rPr>
        <w:t xml:space="preserve">e </w:t>
      </w:r>
      <m:oMath>
        <m:sSubSup>
          <m:sSubSupPr>
            <m:ctrlPr>
              <w:rPr>
                <w:rFonts w:ascii="Cambria Math" w:hAnsi="Cambria Math"/>
                <w:i/>
              </w:rPr>
            </m:ctrlPr>
          </m:sSubSupPr>
          <m:e>
            <m:r>
              <w:rPr>
                <w:rFonts w:ascii="Cambria Math" w:hAnsi="Cambria Math"/>
              </w:rPr>
              <m:t>COI</m:t>
            </m:r>
          </m:e>
          <m:sub>
            <m:r>
              <w:rPr>
                <w:rFonts w:ascii="Cambria Math" w:hAnsi="Cambria Math"/>
              </w:rPr>
              <m:t xml:space="preserve">TF,a </m:t>
            </m:r>
          </m:sub>
          <m:sup>
            <m:r>
              <w:rPr>
                <w:rFonts w:ascii="Cambria Math" w:hAnsi="Cambria Math"/>
              </w:rPr>
              <m:t>exp</m:t>
            </m:r>
          </m:sup>
        </m:sSubSup>
      </m:oMath>
      <w:r>
        <w:rPr>
          <w:lang w:eastAsia="en-GB"/>
        </w:rPr>
        <w:t>.</w:t>
      </w:r>
    </w:p>
    <w:p w14:paraId="485DCB80" w14:textId="77777777" w:rsidR="00700758" w:rsidRPr="00190B41" w:rsidRDefault="00700758" w:rsidP="00DA3A0C">
      <w:pPr>
        <w:pStyle w:val="Titolo2"/>
      </w:pPr>
      <w:bookmarkStart w:id="44" w:name="_Toc93658155"/>
      <w:bookmarkStart w:id="45" w:name="_Toc163127423"/>
      <w:r>
        <w:t>Ammortamenti delle immobilizzazioni</w:t>
      </w:r>
      <w:bookmarkEnd w:id="44"/>
      <w:bookmarkEnd w:id="45"/>
    </w:p>
    <w:p w14:paraId="5154D0DB" w14:textId="0E5E6337" w:rsidR="00700758" w:rsidRDefault="00700758" w:rsidP="00CB6A2E">
      <w:pPr>
        <w:rPr>
          <w:rFonts w:asciiTheme="minorHAnsi" w:hAnsiTheme="minorHAnsi"/>
          <w:lang w:eastAsia="en-GB"/>
        </w:rPr>
      </w:pPr>
      <w:r>
        <w:rPr>
          <w:rFonts w:asciiTheme="minorHAnsi" w:hAnsiTheme="minorHAnsi"/>
          <w:lang w:eastAsia="en-GB"/>
        </w:rPr>
        <w:t xml:space="preserve">L’Ente ha </w:t>
      </w:r>
      <w:r w:rsidR="00E07003">
        <w:rPr>
          <w:rFonts w:asciiTheme="minorHAnsi" w:hAnsiTheme="minorHAnsi"/>
          <w:lang w:eastAsia="en-GB"/>
        </w:rPr>
        <w:t>analizzato</w:t>
      </w:r>
      <w:r>
        <w:rPr>
          <w:rFonts w:asciiTheme="minorHAnsi" w:hAnsiTheme="minorHAnsi"/>
          <w:lang w:eastAsia="en-GB"/>
        </w:rPr>
        <w:t xml:space="preserve"> le vite utili </w:t>
      </w:r>
      <w:r w:rsidR="00E07003">
        <w:rPr>
          <w:rFonts w:asciiTheme="minorHAnsi" w:hAnsiTheme="minorHAnsi"/>
          <w:lang w:eastAsia="en-GB"/>
        </w:rPr>
        <w:t>dei</w:t>
      </w:r>
      <w:r>
        <w:rPr>
          <w:rFonts w:asciiTheme="minorHAnsi" w:hAnsiTheme="minorHAnsi"/>
          <w:lang w:eastAsia="en-GB"/>
        </w:rPr>
        <w:t xml:space="preserve"> cespiti </w:t>
      </w:r>
      <w:r w:rsidR="00E07003">
        <w:rPr>
          <w:rFonts w:asciiTheme="minorHAnsi" w:hAnsiTheme="minorHAnsi"/>
          <w:lang w:eastAsia="en-GB"/>
        </w:rPr>
        <w:t xml:space="preserve">valorizzate </w:t>
      </w:r>
      <w:r w:rsidRPr="00A42BF4">
        <w:rPr>
          <w:rFonts w:asciiTheme="minorHAnsi" w:hAnsiTheme="minorHAnsi"/>
          <w:lang w:eastAsia="en-GB"/>
        </w:rPr>
        <w:t xml:space="preserve">dal </w:t>
      </w:r>
      <w:r w:rsidR="00CB6A2E">
        <w:rPr>
          <w:rFonts w:asciiTheme="minorHAnsi" w:hAnsiTheme="minorHAnsi"/>
          <w:lang w:eastAsia="en-GB"/>
        </w:rPr>
        <w:t>G</w:t>
      </w:r>
      <w:r w:rsidRPr="00A42BF4">
        <w:rPr>
          <w:rFonts w:asciiTheme="minorHAnsi" w:hAnsiTheme="minorHAnsi"/>
          <w:lang w:eastAsia="en-GB"/>
        </w:rPr>
        <w:t>estore</w:t>
      </w:r>
      <w:r>
        <w:rPr>
          <w:rFonts w:asciiTheme="minorHAnsi" w:hAnsiTheme="minorHAnsi"/>
          <w:lang w:eastAsia="en-GB"/>
        </w:rPr>
        <w:t xml:space="preserve"> verificando il rispetto:</w:t>
      </w:r>
    </w:p>
    <w:p w14:paraId="3DDD35DA" w14:textId="0D4EFC1B" w:rsidR="00700758" w:rsidRDefault="00CB6A2E" w:rsidP="00CB6A2E">
      <w:pPr>
        <w:pStyle w:val="Paragrafoelenco"/>
        <w:numPr>
          <w:ilvl w:val="0"/>
          <w:numId w:val="23"/>
        </w:numPr>
        <w:jc w:val="both"/>
        <w:rPr>
          <w:rFonts w:asciiTheme="minorHAnsi" w:hAnsiTheme="minorHAnsi"/>
          <w:lang w:eastAsia="en-GB"/>
        </w:rPr>
      </w:pPr>
      <w:r>
        <w:rPr>
          <w:rFonts w:asciiTheme="minorHAnsi" w:hAnsiTheme="minorHAnsi"/>
          <w:lang w:eastAsia="en-GB"/>
        </w:rPr>
        <w:t>d</w:t>
      </w:r>
      <w:r w:rsidR="00700758">
        <w:rPr>
          <w:rFonts w:asciiTheme="minorHAnsi" w:hAnsiTheme="minorHAnsi"/>
          <w:lang w:eastAsia="en-GB"/>
        </w:rPr>
        <w:t xml:space="preserve">elle tabelle previste negli artt. 15.2 e 15.3 del MTR-2 </w:t>
      </w:r>
      <w:r w:rsidR="00E07003">
        <w:rPr>
          <w:rFonts w:asciiTheme="minorHAnsi" w:hAnsiTheme="minorHAnsi"/>
          <w:lang w:eastAsia="en-GB"/>
        </w:rPr>
        <w:t xml:space="preserve">aggiornato </w:t>
      </w:r>
      <w:r w:rsidR="00700758">
        <w:rPr>
          <w:rFonts w:asciiTheme="minorHAnsi" w:hAnsiTheme="minorHAnsi"/>
          <w:lang w:eastAsia="en-GB"/>
        </w:rPr>
        <w:t>per i cespiti ad esse direttamente riconducibili;</w:t>
      </w:r>
    </w:p>
    <w:p w14:paraId="6A67D34B" w14:textId="5AE127D0" w:rsidR="00700758" w:rsidRDefault="00CB6A2E" w:rsidP="00CB6A2E">
      <w:pPr>
        <w:pStyle w:val="Paragrafoelenco"/>
        <w:numPr>
          <w:ilvl w:val="0"/>
          <w:numId w:val="23"/>
        </w:numPr>
        <w:jc w:val="both"/>
        <w:rPr>
          <w:rFonts w:asciiTheme="minorHAnsi" w:hAnsiTheme="minorHAnsi"/>
          <w:lang w:eastAsia="en-GB"/>
        </w:rPr>
      </w:pPr>
      <w:r>
        <w:rPr>
          <w:rFonts w:asciiTheme="minorHAnsi" w:hAnsiTheme="minorHAnsi"/>
          <w:lang w:eastAsia="en-GB"/>
        </w:rPr>
        <w:lastRenderedPageBreak/>
        <w:t>d</w:t>
      </w:r>
      <w:r w:rsidR="00700758">
        <w:rPr>
          <w:rFonts w:asciiTheme="minorHAnsi" w:hAnsiTheme="minorHAnsi"/>
          <w:lang w:eastAsia="en-GB"/>
        </w:rPr>
        <w:t xml:space="preserve">el criterio indicato dall’art. 15.4 del MTR-2 </w:t>
      </w:r>
      <w:r w:rsidR="00E07003">
        <w:rPr>
          <w:rFonts w:asciiTheme="minorHAnsi" w:hAnsiTheme="minorHAnsi"/>
          <w:lang w:eastAsia="en-GB"/>
        </w:rPr>
        <w:t xml:space="preserve">aggiornato </w:t>
      </w:r>
      <w:r w:rsidR="00700758">
        <w:rPr>
          <w:rFonts w:asciiTheme="minorHAnsi" w:hAnsiTheme="minorHAnsi"/>
          <w:lang w:eastAsia="en-GB"/>
        </w:rPr>
        <w:t>per i cespiti ad esse direttamente riconducibili.</w:t>
      </w:r>
    </w:p>
    <w:p w14:paraId="18C70F80" w14:textId="402E22B6" w:rsidR="00700758" w:rsidRDefault="00700758" w:rsidP="00700758">
      <w:pPr>
        <w:rPr>
          <w:rFonts w:asciiTheme="minorHAnsi" w:hAnsiTheme="minorHAnsi"/>
          <w:lang w:eastAsia="en-GB"/>
        </w:rPr>
      </w:pPr>
      <w:r>
        <w:rPr>
          <w:rFonts w:asciiTheme="minorHAnsi" w:hAnsiTheme="minorHAnsi"/>
          <w:lang w:eastAsia="en-GB"/>
        </w:rPr>
        <w:t xml:space="preserve">Non sono state utilizzate le deroghe previste dagli artt. 15.5 e 15.6 del MTR-2 </w:t>
      </w:r>
      <w:r w:rsidR="00E07003">
        <w:rPr>
          <w:rFonts w:asciiTheme="minorHAnsi" w:hAnsiTheme="minorHAnsi"/>
          <w:lang w:eastAsia="en-GB"/>
        </w:rPr>
        <w:t xml:space="preserve">aggiornato </w:t>
      </w:r>
      <w:r>
        <w:rPr>
          <w:rFonts w:asciiTheme="minorHAnsi" w:hAnsiTheme="minorHAnsi"/>
          <w:lang w:eastAsia="en-GB"/>
        </w:rPr>
        <w:t>che consentono l’adozione di vite utili inferiori o superiori rispetto a quelle regolatorie.</w:t>
      </w:r>
    </w:p>
    <w:p w14:paraId="27AA50DB" w14:textId="77777777" w:rsidR="00700758" w:rsidRPr="00190B41" w:rsidRDefault="00700758" w:rsidP="00DA3A0C">
      <w:pPr>
        <w:pStyle w:val="Titolo2"/>
      </w:pPr>
      <w:bookmarkStart w:id="46" w:name="_Toc93658156"/>
      <w:bookmarkStart w:id="47" w:name="_Toc163127424"/>
      <w:r>
        <w:t xml:space="preserve">Valorizzazione dei fattori di </w:t>
      </w:r>
      <w:r w:rsidRPr="00676FEB">
        <w:rPr>
          <w:i/>
        </w:rPr>
        <w:t>sharing</w:t>
      </w:r>
      <w:bookmarkEnd w:id="46"/>
      <w:bookmarkEnd w:id="47"/>
      <w:r>
        <w:t xml:space="preserve"> </w:t>
      </w:r>
    </w:p>
    <w:p w14:paraId="1B47DB2A" w14:textId="4411D59B" w:rsidR="00CB6A2E" w:rsidRDefault="00CB6A2E" w:rsidP="00700758">
      <w:pPr>
        <w:rPr>
          <w:lang w:eastAsia="en-GB"/>
        </w:rPr>
      </w:pPr>
      <w:r w:rsidRPr="00CB6A2E">
        <w:rPr>
          <w:lang w:eastAsia="en-GB"/>
        </w:rPr>
        <w:t xml:space="preserve">L’Ente </w:t>
      </w:r>
      <w:r>
        <w:rPr>
          <w:lang w:eastAsia="en-GB"/>
        </w:rPr>
        <w:t>scrivente</w:t>
      </w:r>
      <w:r w:rsidRPr="00CB6A2E">
        <w:rPr>
          <w:lang w:eastAsia="en-GB"/>
        </w:rPr>
        <w:t xml:space="preserve"> </w:t>
      </w:r>
      <w:r>
        <w:rPr>
          <w:lang w:eastAsia="en-GB"/>
        </w:rPr>
        <w:t xml:space="preserve">deve definire </w:t>
      </w:r>
      <w:r w:rsidRPr="00CB6A2E">
        <w:rPr>
          <w:lang w:eastAsia="en-GB"/>
        </w:rPr>
        <w:t xml:space="preserve">le modalità di individuazione dei fattori di </w:t>
      </w:r>
      <w:r w:rsidRPr="00CB6A2E">
        <w:rPr>
          <w:i/>
          <w:iCs/>
          <w:lang w:eastAsia="en-GB"/>
        </w:rPr>
        <w:t>sharing</w:t>
      </w:r>
      <w:r w:rsidRPr="00CB6A2E">
        <w:rPr>
          <w:lang w:eastAsia="en-GB"/>
        </w:rPr>
        <w:t xml:space="preserve"> dei proventi in modo da favorire gli incentivi alla crescita dei ricavi dalla vendita di materiali e/o energia e dei corrispettivi riconosciuti dai sistemi collettivi di </w:t>
      </w:r>
      <w:r w:rsidRPr="00CB6A2E">
        <w:rPr>
          <w:i/>
          <w:iCs/>
          <w:lang w:eastAsia="en-GB"/>
        </w:rPr>
        <w:t>compliance</w:t>
      </w:r>
      <w:r w:rsidRPr="00CB6A2E">
        <w:rPr>
          <w:lang w:eastAsia="en-GB"/>
        </w:rPr>
        <w:t xml:space="preserve"> agli obblighi di responsabilità estesa del produttore</w:t>
      </w:r>
      <w:r>
        <w:rPr>
          <w:lang w:eastAsia="en-GB"/>
        </w:rPr>
        <w:t>.</w:t>
      </w:r>
    </w:p>
    <w:p w14:paraId="202233DE" w14:textId="0BB40851" w:rsidR="00CB6A2E" w:rsidRDefault="00CB6A2E" w:rsidP="00700758">
      <w:pPr>
        <w:rPr>
          <w:lang w:eastAsia="en-GB"/>
        </w:rPr>
      </w:pPr>
      <w:r>
        <w:rPr>
          <w:lang w:eastAsia="en-GB"/>
        </w:rPr>
        <w:t>Di conseguenza, devono essere definiti i fattori:</w:t>
      </w:r>
    </w:p>
    <w:p w14:paraId="68DEE794" w14:textId="17378DD8" w:rsidR="009E7327" w:rsidRPr="009E7327" w:rsidRDefault="00700758" w:rsidP="00732927">
      <w:pPr>
        <w:pStyle w:val="Paragrafoelenco"/>
        <w:numPr>
          <w:ilvl w:val="0"/>
          <w:numId w:val="17"/>
        </w:numPr>
        <w:spacing w:line="252" w:lineRule="auto"/>
        <w:ind w:left="432" w:hanging="432"/>
        <w:jc w:val="both"/>
        <w:rPr>
          <w:lang w:eastAsia="en-GB"/>
        </w:rPr>
      </w:pPr>
      <w:r w:rsidRPr="009E7327">
        <w:rPr>
          <w:rFonts w:asciiTheme="minorHAnsi" w:hAnsiTheme="minorHAnsi"/>
          <w:i/>
          <w:iCs/>
          <w:lang w:eastAsia="en-GB"/>
        </w:rPr>
        <w:t>b</w:t>
      </w:r>
      <w:r w:rsidR="00CB6A2E">
        <w:rPr>
          <w:rFonts w:asciiTheme="minorHAnsi" w:hAnsiTheme="minorHAnsi"/>
          <w:lang w:eastAsia="en-GB"/>
        </w:rPr>
        <w:t xml:space="preserve">, </w:t>
      </w:r>
      <w:r w:rsidRPr="009E7327">
        <w:rPr>
          <w:rFonts w:asciiTheme="minorHAnsi" w:hAnsiTheme="minorHAnsi"/>
          <w:lang w:eastAsia="en-GB"/>
        </w:rPr>
        <w:t xml:space="preserve">fattore di </w:t>
      </w:r>
      <w:r w:rsidRPr="009E7327">
        <w:rPr>
          <w:rFonts w:asciiTheme="minorHAnsi" w:hAnsiTheme="minorHAnsi"/>
          <w:i/>
          <w:iCs/>
          <w:lang w:eastAsia="en-GB"/>
        </w:rPr>
        <w:t>sharing</w:t>
      </w:r>
      <w:r w:rsidRPr="009E7327">
        <w:rPr>
          <w:rFonts w:asciiTheme="minorHAnsi" w:hAnsiTheme="minorHAnsi"/>
          <w:lang w:eastAsia="en-GB"/>
        </w:rPr>
        <w:t xml:space="preserve"> dei ricavi dalla vendita di materiali e/o energia </w:t>
      </w:r>
      <w:r w:rsidRPr="009E7327">
        <w:rPr>
          <w:rFonts w:asciiTheme="minorHAnsi" w:hAnsiTheme="minorHAnsi"/>
          <w:i/>
          <w:iCs/>
          <w:lang w:eastAsia="en-GB"/>
        </w:rPr>
        <w:t>(</w:t>
      </w:r>
      <w:r w:rsidRPr="00E07003">
        <w:rPr>
          <w:rFonts w:ascii="Cambria Math" w:hAnsi="Cambria Math"/>
          <w:i/>
          <w:iCs/>
          <w:lang w:eastAsia="en-GB"/>
        </w:rPr>
        <w:t>AR</w:t>
      </w:r>
      <w:r w:rsidRPr="009E7327">
        <w:rPr>
          <w:rFonts w:asciiTheme="minorHAnsi" w:hAnsiTheme="minorHAnsi"/>
          <w:i/>
          <w:iCs/>
          <w:lang w:eastAsia="en-GB"/>
        </w:rPr>
        <w:t>)</w:t>
      </w:r>
      <w:r w:rsidRPr="009E7327">
        <w:rPr>
          <w:rFonts w:asciiTheme="minorHAnsi" w:hAnsiTheme="minorHAnsi"/>
          <w:lang w:eastAsia="en-GB"/>
        </w:rPr>
        <w:t>, che può assumere un valore compreso nell’intervallo [0,</w:t>
      </w:r>
      <w:proofErr w:type="gramStart"/>
      <w:r w:rsidRPr="009E7327">
        <w:rPr>
          <w:rFonts w:asciiTheme="minorHAnsi" w:hAnsiTheme="minorHAnsi"/>
          <w:lang w:eastAsia="en-GB"/>
        </w:rPr>
        <w:t xml:space="preserve">3 </w:t>
      </w:r>
      <w:r w:rsidR="00E07003">
        <w:rPr>
          <w:rFonts w:asciiTheme="minorHAnsi" w:hAnsiTheme="minorHAnsi"/>
          <w:lang w:eastAsia="en-GB"/>
        </w:rPr>
        <w:t>,</w:t>
      </w:r>
      <w:proofErr w:type="gramEnd"/>
      <w:r w:rsidRPr="009E7327">
        <w:rPr>
          <w:rFonts w:asciiTheme="minorHAnsi" w:hAnsiTheme="minorHAnsi"/>
          <w:lang w:eastAsia="en-GB"/>
        </w:rPr>
        <w:t xml:space="preserve"> 0,6];</w:t>
      </w:r>
    </w:p>
    <w:p w14:paraId="2A45FF82" w14:textId="464FF9D0" w:rsidR="00700758" w:rsidRDefault="00700758" w:rsidP="00732927">
      <w:pPr>
        <w:pStyle w:val="Paragrafoelenco"/>
        <w:numPr>
          <w:ilvl w:val="0"/>
          <w:numId w:val="17"/>
        </w:numPr>
        <w:spacing w:line="252" w:lineRule="auto"/>
        <w:ind w:left="432" w:hanging="432"/>
        <w:jc w:val="both"/>
        <w:rPr>
          <w:lang w:eastAsia="en-GB"/>
        </w:rPr>
      </w:pPr>
      <w:r w:rsidRPr="009E7327">
        <w:rPr>
          <w:i/>
          <w:iCs/>
          <w:lang w:eastAsia="en-GB"/>
        </w:rPr>
        <w:t>b(1+ω)</w:t>
      </w:r>
      <w:r w:rsidR="0054462D">
        <w:rPr>
          <w:lang w:eastAsia="en-GB"/>
        </w:rPr>
        <w:t xml:space="preserve">, </w:t>
      </w:r>
      <w:r>
        <w:rPr>
          <w:lang w:eastAsia="en-GB"/>
        </w:rPr>
        <w:t xml:space="preserve">fattore di </w:t>
      </w:r>
      <w:r w:rsidRPr="009E7327">
        <w:rPr>
          <w:i/>
          <w:lang w:eastAsia="en-GB"/>
        </w:rPr>
        <w:t>sharing</w:t>
      </w:r>
      <w:r>
        <w:rPr>
          <w:lang w:eastAsia="en-GB"/>
        </w:rPr>
        <w:t xml:space="preserve"> dei proventi derivanti </w:t>
      </w:r>
      <w:r>
        <w:t xml:space="preserve">dai corrispettivi riconosciuti ai sistemi collettivi di </w:t>
      </w:r>
      <w:r w:rsidRPr="009E7327">
        <w:rPr>
          <w:i/>
          <w:iCs/>
        </w:rPr>
        <w:t>compliance</w:t>
      </w:r>
      <w:r>
        <w:rPr>
          <w:lang w:eastAsia="en-GB"/>
        </w:rPr>
        <w:t xml:space="preserve">, dove </w:t>
      </w:r>
      <w:r w:rsidRPr="009E7327">
        <w:rPr>
          <w:i/>
          <w:iCs/>
          <w:lang w:eastAsia="en-GB"/>
        </w:rPr>
        <w:t>ω</w:t>
      </w:r>
      <w:r>
        <w:rPr>
          <w:lang w:eastAsia="en-GB"/>
        </w:rPr>
        <w:t xml:space="preserve"> è determinato in coerenza con le valutazioni compiute ai fini della determinazione dei parametri di qualità ambientale </w:t>
      </w:r>
      <m:oMath>
        <m:sSub>
          <m:sSubPr>
            <m:ctrlPr>
              <w:rPr>
                <w:rFonts w:ascii="Cambria Math" w:hAnsi="Cambria Math"/>
                <w:i/>
                <w:sz w:val="24"/>
                <w:szCs w:val="22"/>
                <w:lang w:eastAsia="en-GB"/>
              </w:rPr>
            </m:ctrlPr>
          </m:sSubPr>
          <m:e>
            <m:r>
              <w:rPr>
                <w:rFonts w:ascii="Cambria Math" w:hAnsi="Cambria Math"/>
                <w:lang w:eastAsia="en-GB"/>
              </w:rPr>
              <m:t>γ</m:t>
            </m:r>
          </m:e>
          <m:sub>
            <m:r>
              <w:rPr>
                <w:rFonts w:ascii="Cambria Math" w:hAnsi="Cambria Math"/>
                <w:lang w:eastAsia="en-GB"/>
              </w:rPr>
              <m:t>1,a</m:t>
            </m:r>
          </m:sub>
        </m:sSub>
      </m:oMath>
      <w:r>
        <w:rPr>
          <w:lang w:eastAsia="en-GB"/>
        </w:rPr>
        <w:t xml:space="preserve"> e </w:t>
      </w:r>
      <m:oMath>
        <m:sSub>
          <m:sSubPr>
            <m:ctrlPr>
              <w:rPr>
                <w:rFonts w:ascii="Cambria Math" w:hAnsi="Cambria Math"/>
                <w:i/>
                <w:sz w:val="24"/>
                <w:szCs w:val="22"/>
                <w:lang w:eastAsia="en-GB"/>
              </w:rPr>
            </m:ctrlPr>
          </m:sSubPr>
          <m:e>
            <m:r>
              <w:rPr>
                <w:rFonts w:ascii="Cambria Math" w:hAnsi="Cambria Math"/>
                <w:lang w:eastAsia="en-GB"/>
              </w:rPr>
              <m:t>γ</m:t>
            </m:r>
          </m:e>
          <m:sub>
            <m:r>
              <w:rPr>
                <w:rFonts w:ascii="Cambria Math" w:hAnsi="Cambria Math"/>
                <w:lang w:eastAsia="en-GB"/>
              </w:rPr>
              <m:t>2,a</m:t>
            </m:r>
          </m:sub>
        </m:sSub>
      </m:oMath>
      <w:r>
        <w:rPr>
          <w:lang w:eastAsia="en-GB"/>
        </w:rPr>
        <w:t xml:space="preserve">di cui al paragrafo </w:t>
      </w:r>
      <w:r w:rsidR="00CF7F88">
        <w:rPr>
          <w:lang w:eastAsia="en-GB"/>
        </w:rPr>
        <w:fldChar w:fldCharType="begin"/>
      </w:r>
      <w:r w:rsidR="00CF7F88">
        <w:rPr>
          <w:lang w:eastAsia="en-GB"/>
        </w:rPr>
        <w:instrText xml:space="preserve"> REF _Ref96589110 \r \h </w:instrText>
      </w:r>
      <w:r w:rsidR="00CF7F88">
        <w:rPr>
          <w:lang w:eastAsia="en-GB"/>
        </w:rPr>
      </w:r>
      <w:r w:rsidR="00CF7F88">
        <w:rPr>
          <w:lang w:eastAsia="en-GB"/>
        </w:rPr>
        <w:fldChar w:fldCharType="separate"/>
      </w:r>
      <w:r w:rsidR="004A2C56">
        <w:rPr>
          <w:lang w:eastAsia="en-GB"/>
        </w:rPr>
        <w:t>5.1.1</w:t>
      </w:r>
      <w:r w:rsidR="00CF7F88">
        <w:rPr>
          <w:lang w:eastAsia="en-GB"/>
        </w:rPr>
        <w:fldChar w:fldCharType="end"/>
      </w:r>
      <w:r>
        <w:rPr>
          <w:lang w:eastAsia="en-GB"/>
        </w:rPr>
        <w:t xml:space="preserve">; </w:t>
      </w:r>
      <w:r w:rsidRPr="009E7327">
        <w:rPr>
          <w:i/>
          <w:iCs/>
          <w:lang w:eastAsia="en-GB"/>
        </w:rPr>
        <w:t xml:space="preserve">ω </w:t>
      </w:r>
      <w:r>
        <w:rPr>
          <w:lang w:eastAsia="en-GB"/>
        </w:rPr>
        <w:t>può assumere un valore compreso nell’intervallo [0,</w:t>
      </w:r>
      <w:proofErr w:type="gramStart"/>
      <w:r>
        <w:rPr>
          <w:lang w:eastAsia="en-GB"/>
        </w:rPr>
        <w:t xml:space="preserve">1 </w:t>
      </w:r>
      <w:r w:rsidR="00E07003">
        <w:rPr>
          <w:lang w:eastAsia="en-GB"/>
        </w:rPr>
        <w:t>,</w:t>
      </w:r>
      <w:proofErr w:type="gramEnd"/>
      <w:r>
        <w:rPr>
          <w:lang w:eastAsia="en-GB"/>
        </w:rPr>
        <w:t xml:space="preserve"> 0,4].</w:t>
      </w:r>
    </w:p>
    <w:p w14:paraId="0BCBE97C" w14:textId="77777777" w:rsidR="00FA0F64" w:rsidRDefault="00FA0F64" w:rsidP="00FA0F64">
      <w:pPr>
        <w:pStyle w:val="Paragrafoelenco"/>
        <w:spacing w:line="252" w:lineRule="auto"/>
        <w:ind w:left="432"/>
        <w:jc w:val="both"/>
        <w:rPr>
          <w:lang w:eastAsia="en-GB"/>
        </w:rPr>
      </w:pPr>
    </w:p>
    <w:p w14:paraId="5A67D898" w14:textId="77777777" w:rsidR="00700758" w:rsidRPr="00424220" w:rsidRDefault="00700758" w:rsidP="00700758">
      <w:pPr>
        <w:pStyle w:val="Titolo3"/>
      </w:pPr>
      <w:bookmarkStart w:id="48" w:name="_Toc163127425"/>
      <w:r>
        <w:t xml:space="preserve">Determinazione del fattore </w:t>
      </w:r>
      <w:r w:rsidRPr="0063400A">
        <w:rPr>
          <w:i/>
          <w:iCs w:val="0"/>
        </w:rPr>
        <w:t>b</w:t>
      </w:r>
      <w:bookmarkEnd w:id="48"/>
    </w:p>
    <w:p w14:paraId="5CED2C2A" w14:textId="5D21BE4D" w:rsidR="00700758" w:rsidRDefault="00700758" w:rsidP="00700758">
      <w:pPr>
        <w:rPr>
          <w:lang w:eastAsia="en-GB"/>
        </w:rPr>
      </w:pPr>
      <w:r w:rsidRPr="00F54E49">
        <w:rPr>
          <w:lang w:eastAsia="en-GB"/>
        </w:rPr>
        <w:t xml:space="preserve">Il fattore di </w:t>
      </w:r>
      <w:r w:rsidRPr="006A6E48">
        <w:rPr>
          <w:i/>
          <w:iCs/>
          <w:lang w:eastAsia="en-GB"/>
        </w:rPr>
        <w:t>sharing</w:t>
      </w:r>
      <w:r w:rsidRPr="00F54E49">
        <w:rPr>
          <w:lang w:eastAsia="en-GB"/>
        </w:rPr>
        <w:t xml:space="preserve"> dei ricavi dalla vendita di materiali e/o energia</w:t>
      </w:r>
      <w:r>
        <w:rPr>
          <w:lang w:eastAsia="en-GB"/>
        </w:rPr>
        <w:t xml:space="preserve"> è stato valorizzato come </w:t>
      </w:r>
      <w:r w:rsidR="0054462D">
        <w:rPr>
          <w:lang w:eastAsia="en-GB"/>
        </w:rPr>
        <w:t>rappresentato</w:t>
      </w:r>
      <w:r>
        <w:rPr>
          <w:lang w:eastAsia="en-GB"/>
        </w:rPr>
        <w:t xml:space="preserve"> nel PEF allegat</w:t>
      </w:r>
      <w:r w:rsidR="00CC5C40">
        <w:rPr>
          <w:lang w:eastAsia="en-GB"/>
        </w:rPr>
        <w:t>o.</w:t>
      </w:r>
    </w:p>
    <w:p w14:paraId="2CD1C6C6" w14:textId="397DDAB2" w:rsidR="00700758" w:rsidRPr="00EE02F0" w:rsidRDefault="00103E93" w:rsidP="00EE02F0">
      <w:pPr>
        <w:pStyle w:val="Didascalia"/>
        <w:spacing w:before="240" w:after="0" w:line="360" w:lineRule="auto"/>
        <w:ind w:left="357"/>
      </w:pPr>
      <w:r w:rsidRPr="00B24301">
        <w:t xml:space="preserve">Tabella </w:t>
      </w:r>
      <w:r w:rsidR="003E1024">
        <w:fldChar w:fldCharType="begin"/>
      </w:r>
      <w:r w:rsidR="003E1024">
        <w:instrText xml:space="preserve"> SEQ Tabella \* ARABIC </w:instrText>
      </w:r>
      <w:r w:rsidR="003E1024">
        <w:fldChar w:fldCharType="separate"/>
      </w:r>
      <w:r w:rsidR="00E07003">
        <w:rPr>
          <w:noProof/>
        </w:rPr>
        <w:t>51</w:t>
      </w:r>
      <w:r w:rsidR="003E1024">
        <w:rPr>
          <w:noProof/>
        </w:rPr>
        <w:fldChar w:fldCharType="end"/>
      </w:r>
      <w:r>
        <w:t xml:space="preserve"> </w:t>
      </w:r>
      <w:r w:rsidR="00700758">
        <w:t>Valorizzazione del coefficiente di sharing b</w:t>
      </w:r>
    </w:p>
    <w:tbl>
      <w:tblPr>
        <w:tblStyle w:val="Tabellagriglia1chiara-colore1"/>
        <w:tblW w:w="0" w:type="auto"/>
        <w:tblLook w:val="04A0" w:firstRow="1" w:lastRow="0" w:firstColumn="1" w:lastColumn="0" w:noHBand="0" w:noVBand="1"/>
      </w:tblPr>
      <w:tblGrid>
        <w:gridCol w:w="1477"/>
        <w:gridCol w:w="6090"/>
        <w:gridCol w:w="1030"/>
        <w:gridCol w:w="1030"/>
      </w:tblGrid>
      <w:tr w:rsidR="00E07003" w14:paraId="429D061A" w14:textId="77777777" w:rsidTr="00E07003">
        <w:trPr>
          <w:cnfStyle w:val="100000000000" w:firstRow="1" w:lastRow="0" w:firstColumn="0" w:lastColumn="0" w:oddVBand="0" w:evenVBand="0" w:oddHBand="0" w:evenHBand="0" w:firstRowFirstColumn="0" w:firstRowLastColumn="0" w:lastRowFirstColumn="0" w:lastRowLastColumn="0"/>
          <w:trHeight w:val="701"/>
          <w:tblHeader/>
        </w:trPr>
        <w:tc>
          <w:tcPr>
            <w:cnfStyle w:val="001000000000" w:firstRow="0" w:lastRow="0" w:firstColumn="1" w:lastColumn="0" w:oddVBand="0" w:evenVBand="0" w:oddHBand="0" w:evenHBand="0" w:firstRowFirstColumn="0" w:firstRowLastColumn="0" w:lastRowFirstColumn="0" w:lastRowLastColumn="0"/>
            <w:tcW w:w="1477" w:type="dxa"/>
            <w:vAlign w:val="center"/>
          </w:tcPr>
          <w:p w14:paraId="06C3549A" w14:textId="77777777" w:rsidR="00E07003" w:rsidRPr="003F69A6" w:rsidRDefault="00E07003" w:rsidP="0054462D">
            <w:pPr>
              <w:jc w:val="center"/>
              <w:rPr>
                <w:rFonts w:ascii="Tahoma" w:hAnsi="Tahoma" w:cs="Tahoma"/>
                <w:sz w:val="16"/>
                <w:szCs w:val="16"/>
                <w:lang w:eastAsia="en-GB"/>
              </w:rPr>
            </w:pPr>
            <w:r w:rsidRPr="003F69A6">
              <w:rPr>
                <w:rFonts w:ascii="Tahoma" w:hAnsi="Tahoma" w:cs="Tahoma"/>
                <w:sz w:val="16"/>
                <w:szCs w:val="16"/>
                <w:lang w:eastAsia="en-GB"/>
              </w:rPr>
              <w:t>Coefficiente</w:t>
            </w:r>
          </w:p>
        </w:tc>
        <w:tc>
          <w:tcPr>
            <w:tcW w:w="6090" w:type="dxa"/>
            <w:vAlign w:val="center"/>
          </w:tcPr>
          <w:p w14:paraId="0E91540B" w14:textId="77777777" w:rsidR="00E07003" w:rsidRPr="003F69A6" w:rsidRDefault="00E07003" w:rsidP="0054462D">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Descrizione</w:t>
            </w:r>
          </w:p>
        </w:tc>
        <w:tc>
          <w:tcPr>
            <w:tcW w:w="1030" w:type="dxa"/>
            <w:vAlign w:val="center"/>
          </w:tcPr>
          <w:p w14:paraId="573C1C07" w14:textId="77777777" w:rsidR="00E07003" w:rsidRPr="003F69A6" w:rsidRDefault="00E07003" w:rsidP="0054462D">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16"/>
                <w:szCs w:val="16"/>
                <w:lang w:eastAsia="en-GB"/>
              </w:rPr>
            </w:pPr>
            <w:r w:rsidRPr="003F69A6">
              <w:rPr>
                <w:rFonts w:ascii="Tahoma" w:hAnsi="Tahoma" w:cs="Tahoma"/>
                <w:sz w:val="16"/>
                <w:szCs w:val="16"/>
                <w:lang w:eastAsia="en-GB"/>
              </w:rPr>
              <w:t>PEF 2024</w:t>
            </w:r>
          </w:p>
        </w:tc>
        <w:tc>
          <w:tcPr>
            <w:tcW w:w="1030" w:type="dxa"/>
            <w:vAlign w:val="center"/>
          </w:tcPr>
          <w:p w14:paraId="380C1561" w14:textId="77777777" w:rsidR="00E07003" w:rsidRPr="003F69A6" w:rsidRDefault="00E07003" w:rsidP="0054462D">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PEF 2025</w:t>
            </w:r>
          </w:p>
        </w:tc>
      </w:tr>
      <w:tr w:rsidR="00CC5C40" w:rsidRPr="00CC5C40" w14:paraId="4A47BFC0" w14:textId="77777777" w:rsidTr="00E07003">
        <w:trPr>
          <w:trHeight w:val="441"/>
        </w:trPr>
        <w:tc>
          <w:tcPr>
            <w:cnfStyle w:val="001000000000" w:firstRow="0" w:lastRow="0" w:firstColumn="1" w:lastColumn="0" w:oddVBand="0" w:evenVBand="0" w:oddHBand="0" w:evenHBand="0" w:firstRowFirstColumn="0" w:firstRowLastColumn="0" w:lastRowFirstColumn="0" w:lastRowLastColumn="0"/>
            <w:tcW w:w="1477" w:type="dxa"/>
            <w:vAlign w:val="center"/>
          </w:tcPr>
          <w:p w14:paraId="1CFFE173" w14:textId="77777777" w:rsidR="00E07003" w:rsidRPr="00CC5C40" w:rsidRDefault="00E07003" w:rsidP="0054462D">
            <w:pPr>
              <w:jc w:val="center"/>
              <w:rPr>
                <w:rFonts w:ascii="Tahoma" w:hAnsi="Tahoma" w:cs="Tahoma"/>
                <w:i/>
                <w:iCs/>
                <w:sz w:val="16"/>
                <w:szCs w:val="16"/>
                <w:lang w:eastAsia="en-GB"/>
              </w:rPr>
            </w:pPr>
            <w:r w:rsidRPr="00CC5C40">
              <w:rPr>
                <w:rFonts w:ascii="Tahoma" w:hAnsi="Tahoma" w:cs="Tahoma"/>
                <w:i/>
                <w:iCs/>
                <w:sz w:val="16"/>
                <w:szCs w:val="16"/>
                <w:lang w:eastAsia="en-GB"/>
              </w:rPr>
              <w:t>b</w:t>
            </w:r>
          </w:p>
        </w:tc>
        <w:tc>
          <w:tcPr>
            <w:tcW w:w="6090" w:type="dxa"/>
            <w:vAlign w:val="center"/>
          </w:tcPr>
          <w:p w14:paraId="1F78AFA1" w14:textId="77777777" w:rsidR="00E07003" w:rsidRPr="00CC5C40" w:rsidRDefault="00E07003" w:rsidP="0054462D">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 xml:space="preserve">Gestore 1 - Coefficiente di </w:t>
            </w:r>
            <w:r w:rsidRPr="00CC5C40">
              <w:rPr>
                <w:rFonts w:ascii="Tahoma" w:hAnsi="Tahoma" w:cs="Tahoma"/>
                <w:i/>
                <w:iCs/>
                <w:sz w:val="16"/>
                <w:szCs w:val="16"/>
                <w:lang w:eastAsia="en-GB"/>
              </w:rPr>
              <w:t>sharing</w:t>
            </w:r>
            <w:r w:rsidRPr="00CC5C40">
              <w:rPr>
                <w:rFonts w:ascii="Tahoma" w:hAnsi="Tahoma" w:cs="Tahoma"/>
                <w:sz w:val="16"/>
                <w:szCs w:val="16"/>
                <w:lang w:eastAsia="en-GB"/>
              </w:rPr>
              <w:t xml:space="preserve"> della componente </w:t>
            </w:r>
            <w:r w:rsidRPr="00CC5C40">
              <w:rPr>
                <w:rFonts w:ascii="Cambria Math" w:hAnsi="Cambria Math" w:cs="Tahoma"/>
                <w:i/>
                <w:iCs/>
                <w:sz w:val="16"/>
                <w:szCs w:val="16"/>
                <w:lang w:eastAsia="en-GB"/>
              </w:rPr>
              <w:t>AR</w:t>
            </w:r>
          </w:p>
        </w:tc>
        <w:tc>
          <w:tcPr>
            <w:tcW w:w="1030" w:type="dxa"/>
            <w:vAlign w:val="center"/>
          </w:tcPr>
          <w:p w14:paraId="54187A25" w14:textId="65C93F50" w:rsidR="00E07003" w:rsidRPr="00CC5C40" w:rsidRDefault="00E07003" w:rsidP="0054462D">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0,</w:t>
            </w:r>
            <w:r w:rsidR="0081525D">
              <w:rPr>
                <w:rFonts w:ascii="Tahoma" w:hAnsi="Tahoma" w:cs="Tahoma"/>
                <w:sz w:val="16"/>
                <w:szCs w:val="16"/>
                <w:lang w:eastAsia="en-GB"/>
              </w:rPr>
              <w:t>60</w:t>
            </w:r>
          </w:p>
        </w:tc>
        <w:tc>
          <w:tcPr>
            <w:tcW w:w="1030" w:type="dxa"/>
            <w:vAlign w:val="center"/>
          </w:tcPr>
          <w:p w14:paraId="4A12B21C" w14:textId="79F74946" w:rsidR="00E07003" w:rsidRPr="00CC5C40" w:rsidRDefault="00E07003" w:rsidP="0054462D">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0,</w:t>
            </w:r>
            <w:r w:rsidR="0081525D">
              <w:rPr>
                <w:rFonts w:ascii="Tahoma" w:hAnsi="Tahoma" w:cs="Tahoma"/>
                <w:sz w:val="16"/>
                <w:szCs w:val="16"/>
                <w:lang w:eastAsia="en-GB"/>
              </w:rPr>
              <w:t>60</w:t>
            </w:r>
          </w:p>
        </w:tc>
      </w:tr>
    </w:tbl>
    <w:p w14:paraId="56B33ADD" w14:textId="77777777" w:rsidR="00700758" w:rsidRDefault="00700758" w:rsidP="00700758">
      <w:pPr>
        <w:rPr>
          <w:lang w:eastAsia="en-GB"/>
        </w:rPr>
      </w:pPr>
      <w:r>
        <w:rPr>
          <w:lang w:eastAsia="en-GB"/>
        </w:rPr>
        <w:t xml:space="preserve">La valorizzazione del fattore di </w:t>
      </w:r>
      <w:r w:rsidRPr="00103E93">
        <w:rPr>
          <w:i/>
          <w:iCs/>
          <w:lang w:eastAsia="en-GB"/>
        </w:rPr>
        <w:t>sharing</w:t>
      </w:r>
      <w:r>
        <w:rPr>
          <w:lang w:eastAsia="en-GB"/>
        </w:rPr>
        <w:t xml:space="preserve"> è stata effettuata considerando congiuntamente:</w:t>
      </w:r>
    </w:p>
    <w:p w14:paraId="34E6234D" w14:textId="77777777" w:rsidR="00700758" w:rsidRDefault="00700758" w:rsidP="0054462D">
      <w:pPr>
        <w:pStyle w:val="Paragrafoelenco"/>
        <w:numPr>
          <w:ilvl w:val="0"/>
          <w:numId w:val="24"/>
        </w:numPr>
        <w:jc w:val="both"/>
        <w:rPr>
          <w:lang w:eastAsia="en-GB"/>
        </w:rPr>
      </w:pPr>
      <w:r>
        <w:rPr>
          <w:lang w:eastAsia="en-GB"/>
        </w:rPr>
        <w:t>l’esigenza di favorire gli incentivi alla crescita dei ricavi dalla vendita di materiale e/o energia derivante da rifiuti (</w:t>
      </w:r>
      <w:r w:rsidRPr="00E07003">
        <w:rPr>
          <w:rFonts w:ascii="Cambria Math" w:hAnsi="Cambria Math"/>
          <w:i/>
          <w:iCs/>
          <w:lang w:eastAsia="en-GB"/>
        </w:rPr>
        <w:t>AR</w:t>
      </w:r>
      <w:r>
        <w:rPr>
          <w:lang w:eastAsia="en-GB"/>
        </w:rPr>
        <w:t>) con specifico riferimento al contributo dell’output recuperato (materiali o energia) al raggiungimento sei target europei;</w:t>
      </w:r>
    </w:p>
    <w:p w14:paraId="60A4AF52" w14:textId="28C8FE15" w:rsidR="00103E93" w:rsidRDefault="00700758" w:rsidP="0054462D">
      <w:pPr>
        <w:pStyle w:val="Paragrafoelenco"/>
        <w:numPr>
          <w:ilvl w:val="0"/>
          <w:numId w:val="24"/>
        </w:numPr>
        <w:jc w:val="both"/>
        <w:rPr>
          <w:lang w:eastAsia="en-GB"/>
        </w:rPr>
      </w:pPr>
      <w:r>
        <w:rPr>
          <w:lang w:eastAsia="en-GB"/>
        </w:rPr>
        <w:t xml:space="preserve"> la sostenibilità sociale delle tariffe applicate agli utenti.</w:t>
      </w:r>
    </w:p>
    <w:p w14:paraId="41C842C5" w14:textId="77777777" w:rsidR="00FA0F64" w:rsidRDefault="00FA0F64" w:rsidP="00FA0F64">
      <w:pPr>
        <w:pStyle w:val="Paragrafoelenco"/>
        <w:jc w:val="both"/>
        <w:rPr>
          <w:lang w:eastAsia="en-GB"/>
        </w:rPr>
      </w:pPr>
    </w:p>
    <w:p w14:paraId="1E371B44" w14:textId="77777777" w:rsidR="00700758" w:rsidRPr="00424220" w:rsidRDefault="00700758" w:rsidP="00700758">
      <w:pPr>
        <w:pStyle w:val="Titolo3"/>
      </w:pPr>
      <w:bookmarkStart w:id="49" w:name="_Toc163127426"/>
      <w:r>
        <w:t xml:space="preserve">Determinazione del fattore </w:t>
      </w:r>
      <w:r>
        <w:rPr>
          <w:i/>
        </w:rPr>
        <w:t>ω</w:t>
      </w:r>
      <w:bookmarkEnd w:id="49"/>
    </w:p>
    <w:p w14:paraId="431DB26E" w14:textId="614B601E" w:rsidR="00700758" w:rsidRDefault="00700758" w:rsidP="0054462D">
      <w:pPr>
        <w:spacing w:line="252" w:lineRule="auto"/>
        <w:rPr>
          <w:lang w:eastAsia="en-GB"/>
        </w:rPr>
      </w:pPr>
      <w:r>
        <w:rPr>
          <w:lang w:eastAsia="en-GB"/>
        </w:rPr>
        <w:t xml:space="preserve">La valorizzazione del coefficiente di </w:t>
      </w:r>
      <w:r w:rsidRPr="000658E6">
        <w:rPr>
          <w:i/>
          <w:iCs/>
          <w:lang w:eastAsia="en-GB"/>
        </w:rPr>
        <w:t>sharing</w:t>
      </w:r>
      <w:r>
        <w:rPr>
          <w:lang w:eastAsia="en-GB"/>
        </w:rPr>
        <w:t xml:space="preserve"> </w:t>
      </w:r>
      <w:r>
        <w:rPr>
          <w:i/>
          <w:iCs/>
          <w:lang w:eastAsia="en-GB"/>
        </w:rPr>
        <w:t xml:space="preserve">ω </w:t>
      </w:r>
      <w:r>
        <w:rPr>
          <w:lang w:eastAsia="en-GB"/>
        </w:rPr>
        <w:t xml:space="preserve">è stata effettuata, come previsto dalla tabella </w:t>
      </w:r>
      <w:r w:rsidR="0054462D">
        <w:rPr>
          <w:lang w:eastAsia="en-GB"/>
        </w:rPr>
        <w:t>di cui</w:t>
      </w:r>
      <w:r>
        <w:rPr>
          <w:lang w:eastAsia="en-GB"/>
        </w:rPr>
        <w:t xml:space="preserve"> </w:t>
      </w:r>
      <w:r w:rsidR="0054462D">
        <w:rPr>
          <w:lang w:eastAsia="en-GB"/>
        </w:rPr>
        <w:t>a</w:t>
      </w:r>
      <w:r>
        <w:rPr>
          <w:lang w:eastAsia="en-GB"/>
        </w:rPr>
        <w:t>ll’art. 3.1 del MTR-2</w:t>
      </w:r>
      <w:r w:rsidR="00E07003">
        <w:rPr>
          <w:lang w:eastAsia="en-GB"/>
        </w:rPr>
        <w:t xml:space="preserve"> aggiornato</w:t>
      </w:r>
      <w:r>
        <w:rPr>
          <w:lang w:eastAsia="en-GB"/>
        </w:rPr>
        <w:t>, considerando congiuntamente</w:t>
      </w:r>
      <w:r w:rsidRPr="006A6E48">
        <w:rPr>
          <w:lang w:eastAsia="en-GB"/>
        </w:rPr>
        <w:t xml:space="preserve"> </w:t>
      </w:r>
      <w:r>
        <w:rPr>
          <w:lang w:eastAsia="en-GB"/>
        </w:rPr>
        <w:t xml:space="preserve">gli indicatori di qualità ambientale del </w:t>
      </w:r>
      <w:r w:rsidR="0054462D">
        <w:rPr>
          <w:lang w:eastAsia="en-GB"/>
        </w:rPr>
        <w:t>G</w:t>
      </w:r>
      <w:r>
        <w:rPr>
          <w:lang w:eastAsia="en-GB"/>
        </w:rPr>
        <w:t xml:space="preserve">estore, </w:t>
      </w:r>
      <w:r w:rsidR="002B2191">
        <w:rPr>
          <w:lang w:eastAsia="en-GB"/>
        </w:rPr>
        <w:t xml:space="preserve">per la valorizzazione dei quali si rinvia </w:t>
      </w:r>
      <w:r>
        <w:rPr>
          <w:lang w:eastAsia="en-GB"/>
        </w:rPr>
        <w:t xml:space="preserve">al paragrafo </w:t>
      </w:r>
      <w:r w:rsidR="00CF7F88">
        <w:rPr>
          <w:lang w:eastAsia="en-GB"/>
        </w:rPr>
        <w:fldChar w:fldCharType="begin"/>
      </w:r>
      <w:r w:rsidR="00CF7F88">
        <w:rPr>
          <w:lang w:eastAsia="en-GB"/>
        </w:rPr>
        <w:instrText xml:space="preserve"> REF _Ref96589092 \r \h </w:instrText>
      </w:r>
      <w:r w:rsidR="00CF7F88">
        <w:rPr>
          <w:lang w:eastAsia="en-GB"/>
        </w:rPr>
      </w:r>
      <w:r w:rsidR="00CF7F88">
        <w:rPr>
          <w:lang w:eastAsia="en-GB"/>
        </w:rPr>
        <w:fldChar w:fldCharType="separate"/>
      </w:r>
      <w:r w:rsidR="004A2C56">
        <w:rPr>
          <w:lang w:eastAsia="en-GB"/>
        </w:rPr>
        <w:t>5.1.1</w:t>
      </w:r>
      <w:r w:rsidR="00CF7F88">
        <w:rPr>
          <w:lang w:eastAsia="en-GB"/>
        </w:rPr>
        <w:fldChar w:fldCharType="end"/>
      </w:r>
      <w:r>
        <w:rPr>
          <w:lang w:eastAsia="en-GB"/>
        </w:rPr>
        <w:t>:</w:t>
      </w:r>
    </w:p>
    <w:p w14:paraId="6552FEAD" w14:textId="3A221091" w:rsidR="00700758" w:rsidRDefault="000E440F" w:rsidP="0054462D">
      <w:pPr>
        <w:pStyle w:val="Paragrafoelenco"/>
        <w:numPr>
          <w:ilvl w:val="2"/>
          <w:numId w:val="25"/>
        </w:numPr>
        <w:ind w:hanging="360"/>
        <w:jc w:val="both"/>
        <w:rPr>
          <w:lang w:eastAsia="en-GB"/>
        </w:rPr>
      </w:pPr>
      <m:oMath>
        <m:sSub>
          <m:sSubPr>
            <m:ctrlPr>
              <w:rPr>
                <w:rFonts w:ascii="Cambria Math" w:hAnsi="Cambria Math"/>
                <w:i/>
                <w:sz w:val="24"/>
                <w:szCs w:val="22"/>
                <w:lang w:eastAsia="en-GB"/>
              </w:rPr>
            </m:ctrlPr>
          </m:sSubPr>
          <m:e>
            <m:r>
              <w:rPr>
                <w:rFonts w:ascii="Cambria Math" w:hAnsi="Cambria Math"/>
                <w:lang w:eastAsia="en-GB"/>
              </w:rPr>
              <m:t>γ</m:t>
            </m:r>
          </m:e>
          <m:sub>
            <m:r>
              <w:rPr>
                <w:rFonts w:ascii="Cambria Math" w:hAnsi="Cambria Math"/>
                <w:lang w:eastAsia="en-GB"/>
              </w:rPr>
              <m:t>1,</m:t>
            </m:r>
            <m:r>
              <w:rPr>
                <w:rFonts w:ascii="Cambria Math" w:hAnsi="Cambria Math"/>
                <w:lang w:eastAsia="en-GB"/>
              </w:rPr>
              <m:t>a</m:t>
            </m:r>
          </m:sub>
        </m:sSub>
      </m:oMath>
      <w:r w:rsidR="0054462D">
        <w:rPr>
          <w:lang w:eastAsia="en-GB"/>
        </w:rPr>
        <w:t xml:space="preserve">, </w:t>
      </w:r>
      <w:r w:rsidR="00700758">
        <w:t>che esprime il rispetto degli obiettivi di raccolta differenziata raggiunti anche tenuto conto della coerenza tra la percentuale di raccolta differenziata conseguita e gli obiettivi ambientali comunitari;</w:t>
      </w:r>
    </w:p>
    <w:p w14:paraId="127EC392" w14:textId="02DBF901" w:rsidR="00700758" w:rsidRPr="002B2191" w:rsidRDefault="000E440F" w:rsidP="0054462D">
      <w:pPr>
        <w:pStyle w:val="Paragrafoelenco"/>
        <w:numPr>
          <w:ilvl w:val="0"/>
          <w:numId w:val="25"/>
        </w:numPr>
        <w:jc w:val="both"/>
        <w:rPr>
          <w:lang w:eastAsia="en-GB"/>
        </w:rPr>
      </w:pPr>
      <m:oMath>
        <m:sSub>
          <m:sSubPr>
            <m:ctrlPr>
              <w:rPr>
                <w:rFonts w:ascii="Cambria Math" w:hAnsi="Cambria Math"/>
                <w:i/>
                <w:sz w:val="24"/>
                <w:szCs w:val="22"/>
                <w:lang w:eastAsia="en-GB"/>
              </w:rPr>
            </m:ctrlPr>
          </m:sSubPr>
          <m:e>
            <m:r>
              <w:rPr>
                <w:rFonts w:ascii="Cambria Math" w:hAnsi="Cambria Math"/>
                <w:lang w:eastAsia="en-GB"/>
              </w:rPr>
              <m:t>γ</m:t>
            </m:r>
          </m:e>
          <m:sub>
            <m:r>
              <w:rPr>
                <w:rFonts w:ascii="Cambria Math" w:hAnsi="Cambria Math"/>
                <w:lang w:eastAsia="en-GB"/>
              </w:rPr>
              <m:t>2,</m:t>
            </m:r>
            <m:r>
              <w:rPr>
                <w:rFonts w:ascii="Cambria Math" w:hAnsi="Cambria Math"/>
                <w:lang w:eastAsia="en-GB"/>
              </w:rPr>
              <m:t>a</m:t>
            </m:r>
          </m:sub>
        </m:sSub>
      </m:oMath>
      <w:r w:rsidR="0054462D">
        <w:t xml:space="preserve">, </w:t>
      </w:r>
      <w:r w:rsidR="00700758">
        <w:t xml:space="preserve">che rappresenta il livello di efficacia delle attività di preparazione per il riutilizzo e il riciclo, anche tenuto conto della percentuale di frazioni estranee rilevata nella raccolta differenziata e della frazione effettivamente avviata a recupero. </w:t>
      </w:r>
    </w:p>
    <w:p w14:paraId="24217269" w14:textId="56175576" w:rsidR="00700758" w:rsidRDefault="00700758" w:rsidP="00700758">
      <w:pPr>
        <w:rPr>
          <w:lang w:eastAsia="en-GB"/>
        </w:rPr>
      </w:pPr>
      <w:r w:rsidRPr="00F54E49">
        <w:rPr>
          <w:lang w:eastAsia="en-GB"/>
        </w:rPr>
        <w:t xml:space="preserve">Il fattore di </w:t>
      </w:r>
      <w:r w:rsidRPr="006A6E48">
        <w:rPr>
          <w:i/>
          <w:iCs/>
          <w:lang w:eastAsia="en-GB"/>
        </w:rPr>
        <w:t>sharing</w:t>
      </w:r>
      <w:r w:rsidRPr="00F54E49">
        <w:rPr>
          <w:lang w:eastAsia="en-GB"/>
        </w:rPr>
        <w:t xml:space="preserve"> dei </w:t>
      </w:r>
      <w:r>
        <w:rPr>
          <w:lang w:eastAsia="en-GB"/>
        </w:rPr>
        <w:t xml:space="preserve">proventi derivanti </w:t>
      </w:r>
      <w:r>
        <w:t xml:space="preserve">dai corrispettivi riconosciuti ai sistemi collettivi di </w:t>
      </w:r>
      <w:r w:rsidRPr="00364BA4">
        <w:rPr>
          <w:i/>
          <w:iCs/>
        </w:rPr>
        <w:t>compliance</w:t>
      </w:r>
      <w:r>
        <w:rPr>
          <w:lang w:eastAsia="en-GB"/>
        </w:rPr>
        <w:t xml:space="preserve"> è stato conseguentemente valorizzato, in base a quanto previsto dalla tabella </w:t>
      </w:r>
      <w:r w:rsidR="0054462D">
        <w:rPr>
          <w:lang w:eastAsia="en-GB"/>
        </w:rPr>
        <w:t>di cui</w:t>
      </w:r>
      <w:r>
        <w:rPr>
          <w:lang w:eastAsia="en-GB"/>
        </w:rPr>
        <w:t xml:space="preserve"> all’art. 3.2 del MTR-2</w:t>
      </w:r>
      <w:r w:rsidR="00364BA4">
        <w:rPr>
          <w:lang w:eastAsia="en-GB"/>
        </w:rPr>
        <w:t xml:space="preserve"> aggiornato</w:t>
      </w:r>
      <w:r>
        <w:rPr>
          <w:lang w:eastAsia="en-GB"/>
        </w:rPr>
        <w:t>, come esposto nel PEF allegato</w:t>
      </w:r>
      <w:r w:rsidR="00CC5C40">
        <w:rPr>
          <w:lang w:eastAsia="en-GB"/>
        </w:rPr>
        <w:t>.</w:t>
      </w:r>
    </w:p>
    <w:p w14:paraId="4D3C7974" w14:textId="544A6742" w:rsidR="00700758" w:rsidRPr="00EE02F0" w:rsidRDefault="00103E93" w:rsidP="00EE02F0">
      <w:pPr>
        <w:pStyle w:val="Didascalia"/>
        <w:spacing w:before="240" w:after="0" w:line="360" w:lineRule="auto"/>
        <w:ind w:left="357"/>
      </w:pPr>
      <w:r w:rsidRPr="00B24301">
        <w:lastRenderedPageBreak/>
        <w:t xml:space="preserve">Tabella </w:t>
      </w:r>
      <w:r w:rsidR="003E1024">
        <w:fldChar w:fldCharType="begin"/>
      </w:r>
      <w:r w:rsidR="003E1024">
        <w:instrText xml:space="preserve"> SEQ Tabella \* ARABIC </w:instrText>
      </w:r>
      <w:r w:rsidR="003E1024">
        <w:fldChar w:fldCharType="separate"/>
      </w:r>
      <w:r w:rsidR="004A2C56">
        <w:rPr>
          <w:noProof/>
        </w:rPr>
        <w:t>60</w:t>
      </w:r>
      <w:r w:rsidR="003E1024">
        <w:rPr>
          <w:noProof/>
        </w:rPr>
        <w:fldChar w:fldCharType="end"/>
      </w:r>
      <w:r>
        <w:t xml:space="preserve"> </w:t>
      </w:r>
      <w:r w:rsidR="00700758">
        <w:t>Valorizzazione del coefficiente di sharing ω</w:t>
      </w:r>
    </w:p>
    <w:tbl>
      <w:tblPr>
        <w:tblStyle w:val="Tabellagriglia1chiara-colore1"/>
        <w:tblW w:w="9664" w:type="dxa"/>
        <w:tblLook w:val="04A0" w:firstRow="1" w:lastRow="0" w:firstColumn="1" w:lastColumn="0" w:noHBand="0" w:noVBand="1"/>
      </w:tblPr>
      <w:tblGrid>
        <w:gridCol w:w="1483"/>
        <w:gridCol w:w="6113"/>
        <w:gridCol w:w="1034"/>
        <w:gridCol w:w="1034"/>
      </w:tblGrid>
      <w:tr w:rsidR="00364BA4" w14:paraId="213619C3" w14:textId="77777777" w:rsidTr="00364BA4">
        <w:trPr>
          <w:cnfStyle w:val="100000000000" w:firstRow="1" w:lastRow="0" w:firstColumn="0" w:lastColumn="0" w:oddVBand="0" w:evenVBand="0" w:oddHBand="0" w:evenHBand="0" w:firstRowFirstColumn="0" w:firstRowLastColumn="0" w:lastRowFirstColumn="0" w:lastRowLastColumn="0"/>
          <w:trHeight w:val="712"/>
          <w:tblHeader/>
        </w:trPr>
        <w:tc>
          <w:tcPr>
            <w:cnfStyle w:val="001000000000" w:firstRow="0" w:lastRow="0" w:firstColumn="1" w:lastColumn="0" w:oddVBand="0" w:evenVBand="0" w:oddHBand="0" w:evenHBand="0" w:firstRowFirstColumn="0" w:firstRowLastColumn="0" w:lastRowFirstColumn="0" w:lastRowLastColumn="0"/>
            <w:tcW w:w="1483" w:type="dxa"/>
            <w:vAlign w:val="center"/>
          </w:tcPr>
          <w:p w14:paraId="240C47D6" w14:textId="77777777" w:rsidR="00364BA4" w:rsidRPr="003F69A6" w:rsidRDefault="00364BA4" w:rsidP="0054462D">
            <w:pPr>
              <w:jc w:val="center"/>
              <w:rPr>
                <w:rFonts w:ascii="Tahoma" w:hAnsi="Tahoma" w:cs="Tahoma"/>
                <w:sz w:val="16"/>
                <w:szCs w:val="16"/>
                <w:lang w:eastAsia="en-GB"/>
              </w:rPr>
            </w:pPr>
            <w:r w:rsidRPr="003F69A6">
              <w:rPr>
                <w:rFonts w:ascii="Tahoma" w:hAnsi="Tahoma" w:cs="Tahoma"/>
                <w:sz w:val="16"/>
                <w:szCs w:val="16"/>
                <w:lang w:eastAsia="en-GB"/>
              </w:rPr>
              <w:t>Coefficiente</w:t>
            </w:r>
          </w:p>
        </w:tc>
        <w:tc>
          <w:tcPr>
            <w:tcW w:w="6113" w:type="dxa"/>
            <w:vAlign w:val="center"/>
          </w:tcPr>
          <w:p w14:paraId="062C976A" w14:textId="77777777" w:rsidR="00364BA4" w:rsidRPr="003F69A6" w:rsidRDefault="00364BA4" w:rsidP="0054462D">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Descrizione</w:t>
            </w:r>
          </w:p>
        </w:tc>
        <w:tc>
          <w:tcPr>
            <w:tcW w:w="1034" w:type="dxa"/>
            <w:vAlign w:val="center"/>
          </w:tcPr>
          <w:p w14:paraId="007DE03D" w14:textId="77777777" w:rsidR="00364BA4" w:rsidRPr="003F69A6" w:rsidRDefault="00364BA4" w:rsidP="0054462D">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16"/>
                <w:szCs w:val="16"/>
                <w:lang w:eastAsia="en-GB"/>
              </w:rPr>
            </w:pPr>
            <w:r w:rsidRPr="003F69A6">
              <w:rPr>
                <w:rFonts w:ascii="Tahoma" w:hAnsi="Tahoma" w:cs="Tahoma"/>
                <w:sz w:val="16"/>
                <w:szCs w:val="16"/>
                <w:lang w:eastAsia="en-GB"/>
              </w:rPr>
              <w:t>PEF 2024</w:t>
            </w:r>
          </w:p>
        </w:tc>
        <w:tc>
          <w:tcPr>
            <w:tcW w:w="1034" w:type="dxa"/>
            <w:vAlign w:val="center"/>
          </w:tcPr>
          <w:p w14:paraId="781037B5" w14:textId="77777777" w:rsidR="00364BA4" w:rsidRPr="003F69A6" w:rsidRDefault="00364BA4" w:rsidP="0054462D">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PEF 2025</w:t>
            </w:r>
          </w:p>
        </w:tc>
      </w:tr>
      <w:tr w:rsidR="00CC5C40" w:rsidRPr="00CC5C40" w14:paraId="51C787AD" w14:textId="77777777" w:rsidTr="00364BA4">
        <w:trPr>
          <w:trHeight w:val="448"/>
        </w:trPr>
        <w:tc>
          <w:tcPr>
            <w:cnfStyle w:val="001000000000" w:firstRow="0" w:lastRow="0" w:firstColumn="1" w:lastColumn="0" w:oddVBand="0" w:evenVBand="0" w:oddHBand="0" w:evenHBand="0" w:firstRowFirstColumn="0" w:firstRowLastColumn="0" w:lastRowFirstColumn="0" w:lastRowLastColumn="0"/>
            <w:tcW w:w="1483" w:type="dxa"/>
            <w:vAlign w:val="center"/>
          </w:tcPr>
          <w:p w14:paraId="3387085C" w14:textId="77777777" w:rsidR="00364BA4" w:rsidRPr="00CC5C40" w:rsidRDefault="00364BA4" w:rsidP="0054462D">
            <w:pPr>
              <w:jc w:val="center"/>
              <w:rPr>
                <w:rFonts w:ascii="Tahoma" w:hAnsi="Tahoma" w:cs="Tahoma"/>
                <w:i/>
                <w:iCs/>
                <w:sz w:val="16"/>
                <w:szCs w:val="16"/>
                <w:lang w:eastAsia="en-GB"/>
              </w:rPr>
            </w:pPr>
            <w:r w:rsidRPr="00CC5C40">
              <w:rPr>
                <w:rFonts w:ascii="Tahoma" w:hAnsi="Tahoma" w:cs="Tahoma"/>
                <w:i/>
                <w:iCs/>
                <w:sz w:val="16"/>
                <w:szCs w:val="16"/>
                <w:lang w:eastAsia="en-GB"/>
              </w:rPr>
              <w:t>ω</w:t>
            </w:r>
          </w:p>
        </w:tc>
        <w:tc>
          <w:tcPr>
            <w:tcW w:w="6113" w:type="dxa"/>
            <w:vAlign w:val="center"/>
          </w:tcPr>
          <w:p w14:paraId="5E5885F1" w14:textId="59D74D28" w:rsidR="00364BA4" w:rsidRPr="00CC5C40" w:rsidRDefault="00364BA4" w:rsidP="0054462D">
            <w:pPr>
              <w:jc w:val="left"/>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 xml:space="preserve">Gestore 1 - Coefficiente di </w:t>
            </w:r>
            <w:r w:rsidRPr="00CC5C40">
              <w:rPr>
                <w:rFonts w:ascii="Tahoma" w:hAnsi="Tahoma" w:cs="Tahoma"/>
                <w:i/>
                <w:iCs/>
                <w:sz w:val="16"/>
                <w:szCs w:val="16"/>
                <w:lang w:eastAsia="en-GB"/>
              </w:rPr>
              <w:t>sharing</w:t>
            </w:r>
            <w:r w:rsidRPr="00CC5C40">
              <w:rPr>
                <w:rFonts w:ascii="Tahoma" w:hAnsi="Tahoma" w:cs="Tahoma"/>
                <w:sz w:val="16"/>
                <w:szCs w:val="16"/>
                <w:lang w:eastAsia="en-GB"/>
              </w:rPr>
              <w:t xml:space="preserve"> della componente </w:t>
            </w:r>
            <m:oMath>
              <m:sSub>
                <m:sSubPr>
                  <m:ctrlPr>
                    <w:rPr>
                      <w:rFonts w:ascii="Cambria Math" w:hAnsi="Cambria Math" w:cs="Tahoma"/>
                      <w:i/>
                      <w:iCs/>
                      <w:sz w:val="16"/>
                      <w:szCs w:val="16"/>
                      <w:lang w:eastAsia="en-GB"/>
                    </w:rPr>
                  </m:ctrlPr>
                </m:sSubPr>
                <m:e>
                  <m:r>
                    <w:rPr>
                      <w:rFonts w:ascii="Cambria Math" w:hAnsi="Cambria Math" w:cs="Tahoma"/>
                      <w:sz w:val="16"/>
                      <w:szCs w:val="16"/>
                      <w:lang w:eastAsia="en-GB"/>
                    </w:rPr>
                    <m:t>AR</m:t>
                  </m:r>
                </m:e>
                <m:sub>
                  <m:r>
                    <w:rPr>
                      <w:rFonts w:ascii="Cambria Math" w:hAnsi="Cambria Math" w:cs="Tahoma"/>
                      <w:sz w:val="16"/>
                      <w:szCs w:val="16"/>
                      <w:lang w:eastAsia="en-GB"/>
                    </w:rPr>
                    <m:t>SC</m:t>
                  </m:r>
                </m:sub>
              </m:sSub>
            </m:oMath>
          </w:p>
        </w:tc>
        <w:tc>
          <w:tcPr>
            <w:tcW w:w="1034" w:type="dxa"/>
            <w:vAlign w:val="center"/>
          </w:tcPr>
          <w:p w14:paraId="5CC30D83" w14:textId="77777777" w:rsidR="00364BA4" w:rsidRPr="00CC5C40" w:rsidRDefault="00364BA4" w:rsidP="0054462D">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0,1</w:t>
            </w:r>
          </w:p>
        </w:tc>
        <w:tc>
          <w:tcPr>
            <w:tcW w:w="1034" w:type="dxa"/>
            <w:vAlign w:val="center"/>
          </w:tcPr>
          <w:p w14:paraId="41EA3A33" w14:textId="77777777" w:rsidR="00364BA4" w:rsidRPr="00CC5C40" w:rsidRDefault="00364BA4" w:rsidP="0054462D">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CC5C40">
              <w:rPr>
                <w:rFonts w:ascii="Tahoma" w:hAnsi="Tahoma" w:cs="Tahoma"/>
                <w:sz w:val="16"/>
                <w:szCs w:val="16"/>
                <w:lang w:eastAsia="en-GB"/>
              </w:rPr>
              <w:t>0,1</w:t>
            </w:r>
          </w:p>
        </w:tc>
      </w:tr>
    </w:tbl>
    <w:p w14:paraId="6EACC6D2" w14:textId="77777777" w:rsidR="00700758" w:rsidRDefault="00700758" w:rsidP="00700758">
      <w:pPr>
        <w:rPr>
          <w:lang w:eastAsia="en-GB"/>
        </w:rPr>
      </w:pPr>
    </w:p>
    <w:p w14:paraId="7554515C" w14:textId="77777777" w:rsidR="00700758" w:rsidRPr="00190B41" w:rsidRDefault="00700758" w:rsidP="00DA3A0C">
      <w:pPr>
        <w:pStyle w:val="Titolo2"/>
      </w:pPr>
      <w:bookmarkStart w:id="50" w:name="_Ref96589060"/>
      <w:bookmarkStart w:id="51" w:name="_Toc163127427"/>
      <w:r>
        <w:t>Conguagli</w:t>
      </w:r>
      <w:bookmarkEnd w:id="50"/>
      <w:bookmarkEnd w:id="51"/>
    </w:p>
    <w:p w14:paraId="3EC225FE" w14:textId="6E010EA7" w:rsidR="00700758" w:rsidRDefault="00700758" w:rsidP="00700758">
      <w:pPr>
        <w:rPr>
          <w:rFonts w:asciiTheme="minorHAnsi" w:hAnsiTheme="minorHAnsi"/>
          <w:lang w:eastAsia="en-GB"/>
        </w:rPr>
      </w:pPr>
      <w:r>
        <w:t xml:space="preserve">Le componenti </w:t>
      </w:r>
      <w:r w:rsidR="00364B19">
        <w:t>di</w:t>
      </w:r>
      <w:r>
        <w:t xml:space="preserve"> conguaglio </w:t>
      </w:r>
      <m:oMath>
        <m:sSub>
          <m:sSubPr>
            <m:ctrlPr>
              <w:rPr>
                <w:rFonts w:ascii="Cambria Math" w:hAnsi="Cambria Math" w:cs="Cambria Math"/>
                <w:i/>
              </w:rPr>
            </m:ctrlPr>
          </m:sSubPr>
          <m:e>
            <m:r>
              <w:rPr>
                <w:rFonts w:ascii="Cambria Math" w:hAnsi="Cambria Math" w:cs="Cambria Math"/>
              </w:rPr>
              <m:t>RCtot</m:t>
            </m:r>
          </m:e>
          <m:sub>
            <m:r>
              <w:rPr>
                <w:rFonts w:ascii="Cambria Math" w:hAnsi="Cambria Math" w:cs="Cambria Math"/>
              </w:rPr>
              <m:t>TV</m:t>
            </m:r>
            <m:r>
              <w:rPr>
                <w:rFonts w:ascii="Cambria Math" w:hAnsi="Cambria Math"/>
              </w:rPr>
              <m:t>,</m:t>
            </m:r>
            <m:r>
              <w:rPr>
                <w:rFonts w:ascii="Cambria Math" w:hAnsi="Cambria Math" w:cs="Cambria Math"/>
              </w:rPr>
              <m:t>a</m:t>
            </m:r>
          </m:sub>
        </m:sSub>
      </m:oMath>
      <w:r>
        <w:t xml:space="preserve">, </w:t>
      </w:r>
      <w:r w:rsidR="00364B19">
        <w:t>relativa</w:t>
      </w:r>
      <w:r>
        <w:t xml:space="preserve"> ai costi variabili riferiti alle annualità pregresse, e </w:t>
      </w:r>
      <m:oMath>
        <m:sSub>
          <m:sSubPr>
            <m:ctrlPr>
              <w:rPr>
                <w:rFonts w:ascii="Cambria Math" w:hAnsi="Cambria Math" w:cs="Cambria Math"/>
                <w:i/>
              </w:rPr>
            </m:ctrlPr>
          </m:sSubPr>
          <m:e>
            <m:r>
              <w:rPr>
                <w:rFonts w:ascii="Cambria Math" w:hAnsi="Cambria Math" w:cs="Cambria Math"/>
              </w:rPr>
              <m:t>RCtot</m:t>
            </m:r>
          </m:e>
          <m:sub>
            <m:r>
              <w:rPr>
                <w:rFonts w:ascii="Cambria Math" w:hAnsi="Cambria Math" w:cs="Cambria Math"/>
              </w:rPr>
              <m:t>TF</m:t>
            </m:r>
            <m:r>
              <w:rPr>
                <w:rFonts w:ascii="Cambria Math" w:hAnsi="Cambria Math"/>
              </w:rPr>
              <m:t>,</m:t>
            </m:r>
            <m:r>
              <w:rPr>
                <w:rFonts w:ascii="Cambria Math" w:hAnsi="Cambria Math" w:cs="Cambria Math"/>
              </w:rPr>
              <m:t>a</m:t>
            </m:r>
          </m:sub>
        </m:sSub>
      </m:oMath>
      <w:r>
        <w:t>, relativa ai costi fissi riferiti alle annualità pregresse</w:t>
      </w:r>
      <w:r w:rsidR="00364B19">
        <w:t>,</w:t>
      </w:r>
      <w:r>
        <w:t xml:space="preserve"> sono state determinate secondo quanto previsto rispettivamente dall’art. 18 e dall’art.19 del MTR-2</w:t>
      </w:r>
      <w:r w:rsidR="007E629C">
        <w:t xml:space="preserve"> aggiornato</w:t>
      </w:r>
      <w:r>
        <w:t>, come esposto nel PEF allegato</w:t>
      </w:r>
      <w:r w:rsidR="00CC5C40">
        <w:t>.</w:t>
      </w:r>
    </w:p>
    <w:p w14:paraId="3EF89CA5" w14:textId="366CE704" w:rsidR="00700758" w:rsidRPr="0034669D" w:rsidRDefault="00103E93" w:rsidP="00EE02F0">
      <w:pPr>
        <w:pStyle w:val="Didascalia"/>
        <w:spacing w:before="240" w:after="0" w:line="360" w:lineRule="auto"/>
        <w:ind w:left="357"/>
        <w:rPr>
          <w:rFonts w:asciiTheme="minorHAnsi" w:hAnsiTheme="minorHAnsi"/>
        </w:rPr>
      </w:pPr>
      <w:r w:rsidRPr="00B24301">
        <w:t xml:space="preserve">Tabella </w:t>
      </w:r>
      <w:r w:rsidR="003E1024">
        <w:fldChar w:fldCharType="begin"/>
      </w:r>
      <w:r w:rsidR="003E1024">
        <w:instrText xml:space="preserve"> SEQ Tabella \* ARABIC </w:instrText>
      </w:r>
      <w:r w:rsidR="003E1024">
        <w:fldChar w:fldCharType="separate"/>
      </w:r>
      <w:r w:rsidR="00395DAA">
        <w:rPr>
          <w:noProof/>
        </w:rPr>
        <w:t>53</w:t>
      </w:r>
      <w:r w:rsidR="003E1024">
        <w:rPr>
          <w:noProof/>
        </w:rPr>
        <w:fldChar w:fldCharType="end"/>
      </w:r>
      <w:r>
        <w:t xml:space="preserve"> D</w:t>
      </w:r>
      <w:r w:rsidR="00700758">
        <w:t>eterminazione delle componenti a conguaglio dei costi variabili</w:t>
      </w:r>
    </w:p>
    <w:tbl>
      <w:tblPr>
        <w:tblStyle w:val="Tabellagriglia1chiara-colore1"/>
        <w:tblW w:w="5000" w:type="pct"/>
        <w:tblLook w:val="04A0" w:firstRow="1" w:lastRow="0" w:firstColumn="1" w:lastColumn="0" w:noHBand="0" w:noVBand="1"/>
      </w:tblPr>
      <w:tblGrid>
        <w:gridCol w:w="7186"/>
        <w:gridCol w:w="1225"/>
        <w:gridCol w:w="1217"/>
      </w:tblGrid>
      <w:tr w:rsidR="007E629C" w14:paraId="4C6684DB" w14:textId="77777777" w:rsidTr="007E629C">
        <w:trPr>
          <w:cnfStyle w:val="100000000000" w:firstRow="1" w:lastRow="0" w:firstColumn="0" w:lastColumn="0" w:oddVBand="0" w:evenVBand="0" w:oddHBand="0" w:evenHBand="0" w:firstRowFirstColumn="0" w:firstRowLastColumn="0" w:lastRowFirstColumn="0" w:lastRowLastColumn="0"/>
          <w:trHeight w:val="414"/>
          <w:tblHeader/>
        </w:trPr>
        <w:tc>
          <w:tcPr>
            <w:cnfStyle w:val="001000000000" w:firstRow="0" w:lastRow="0" w:firstColumn="1" w:lastColumn="0" w:oddVBand="0" w:evenVBand="0" w:oddHBand="0" w:evenHBand="0" w:firstRowFirstColumn="0" w:firstRowLastColumn="0" w:lastRowFirstColumn="0" w:lastRowLastColumn="0"/>
            <w:tcW w:w="3732" w:type="pct"/>
            <w:vAlign w:val="center"/>
          </w:tcPr>
          <w:p w14:paraId="629E299A" w14:textId="77777777" w:rsidR="007E629C" w:rsidRPr="003F69A6" w:rsidRDefault="007E629C" w:rsidP="00CF7F88">
            <w:pPr>
              <w:jc w:val="center"/>
              <w:rPr>
                <w:rFonts w:ascii="Tahoma" w:hAnsi="Tahoma" w:cs="Tahoma"/>
                <w:sz w:val="16"/>
                <w:szCs w:val="16"/>
                <w:lang w:eastAsia="en-GB"/>
              </w:rPr>
            </w:pPr>
            <w:r w:rsidRPr="003F69A6">
              <w:rPr>
                <w:rFonts w:ascii="Tahoma" w:hAnsi="Tahoma" w:cs="Tahoma"/>
                <w:sz w:val="16"/>
                <w:szCs w:val="16"/>
                <w:lang w:eastAsia="en-GB"/>
              </w:rPr>
              <w:t>Componente</w:t>
            </w:r>
          </w:p>
        </w:tc>
        <w:tc>
          <w:tcPr>
            <w:tcW w:w="636" w:type="pct"/>
            <w:vAlign w:val="center"/>
          </w:tcPr>
          <w:p w14:paraId="06B3FE7E" w14:textId="77777777" w:rsidR="007E629C" w:rsidRPr="003F69A6" w:rsidRDefault="007E629C" w:rsidP="00CF7F88">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16"/>
                <w:szCs w:val="16"/>
                <w:lang w:eastAsia="en-GB"/>
              </w:rPr>
            </w:pPr>
            <w:r w:rsidRPr="003F69A6">
              <w:rPr>
                <w:rFonts w:ascii="Tahoma" w:hAnsi="Tahoma" w:cs="Tahoma"/>
                <w:sz w:val="16"/>
                <w:szCs w:val="16"/>
                <w:lang w:eastAsia="en-GB"/>
              </w:rPr>
              <w:t>PEF 2024</w:t>
            </w:r>
          </w:p>
        </w:tc>
        <w:tc>
          <w:tcPr>
            <w:tcW w:w="632" w:type="pct"/>
            <w:vAlign w:val="center"/>
          </w:tcPr>
          <w:p w14:paraId="4236D3C2" w14:textId="77777777" w:rsidR="007E629C" w:rsidRPr="003F69A6" w:rsidRDefault="007E629C" w:rsidP="00CF7F88">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3F69A6">
              <w:rPr>
                <w:rFonts w:ascii="Tahoma" w:hAnsi="Tahoma" w:cs="Tahoma"/>
                <w:sz w:val="16"/>
                <w:szCs w:val="16"/>
                <w:lang w:eastAsia="en-GB"/>
              </w:rPr>
              <w:t>PEF 2025</w:t>
            </w:r>
          </w:p>
        </w:tc>
      </w:tr>
      <w:tr w:rsidR="007E629C" w:rsidRPr="00EA0792" w14:paraId="427DE8E2" w14:textId="77777777" w:rsidTr="005E1B58">
        <w:trPr>
          <w:trHeight w:val="507"/>
        </w:trPr>
        <w:tc>
          <w:tcPr>
            <w:cnfStyle w:val="001000000000" w:firstRow="0" w:lastRow="0" w:firstColumn="1" w:lastColumn="0" w:oddVBand="0" w:evenVBand="0" w:oddHBand="0" w:evenHBand="0" w:firstRowFirstColumn="0" w:firstRowLastColumn="0" w:lastRowFirstColumn="0" w:lastRowLastColumn="0"/>
            <w:tcW w:w="3732" w:type="pct"/>
            <w:vAlign w:val="center"/>
          </w:tcPr>
          <w:p w14:paraId="3A7DA684" w14:textId="7CF35859" w:rsidR="007E629C" w:rsidRPr="00CF7F88" w:rsidRDefault="005E1B58" w:rsidP="00CF7F88">
            <w:pPr>
              <w:jc w:val="left"/>
              <w:rPr>
                <w:rFonts w:ascii="Tahoma" w:hAnsi="Tahoma" w:cs="Tahoma"/>
                <w:sz w:val="16"/>
                <w:szCs w:val="16"/>
                <w:lang w:eastAsia="en-GB"/>
              </w:rPr>
            </w:pPr>
            <w:r>
              <w:rPr>
                <w:rFonts w:ascii="Tahoma" w:hAnsi="Tahoma" w:cs="Tahoma"/>
                <w:sz w:val="16"/>
                <w:szCs w:val="16"/>
                <w:lang w:eastAsia="en-GB"/>
              </w:rPr>
              <w:t>C</w:t>
            </w:r>
            <w:r w:rsidR="007E629C" w:rsidRPr="00CF7F88">
              <w:rPr>
                <w:rFonts w:ascii="Tahoma" w:hAnsi="Tahoma" w:cs="Tahoma"/>
                <w:sz w:val="16"/>
                <w:szCs w:val="16"/>
                <w:lang w:eastAsia="en-GB"/>
              </w:rPr>
              <w:t>onguaglio relativo ai costi variabili (</w:t>
            </w:r>
            <m:oMath>
              <m:sSub>
                <m:sSubPr>
                  <m:ctrlPr>
                    <w:rPr>
                      <w:rFonts w:ascii="Cambria Math" w:hAnsi="Cambria Math" w:cs="Cambria Math"/>
                      <w:i/>
                      <w:sz w:val="16"/>
                      <w:szCs w:val="16"/>
                    </w:rPr>
                  </m:ctrlPr>
                </m:sSubPr>
                <m:e>
                  <m:r>
                    <m:rPr>
                      <m:sty m:val="bi"/>
                    </m:rPr>
                    <w:rPr>
                      <w:rFonts w:ascii="Cambria Math" w:hAnsi="Cambria Math" w:cs="Cambria Math"/>
                      <w:sz w:val="16"/>
                      <w:szCs w:val="16"/>
                    </w:rPr>
                    <m:t>RCtot</m:t>
                  </m:r>
                </m:e>
                <m:sub>
                  <m:r>
                    <m:rPr>
                      <m:sty m:val="bi"/>
                    </m:rPr>
                    <w:rPr>
                      <w:rFonts w:ascii="Cambria Math" w:hAnsi="Cambria Math" w:cs="Cambria Math"/>
                      <w:sz w:val="16"/>
                      <w:szCs w:val="16"/>
                    </w:rPr>
                    <m:t>TV</m:t>
                  </m:r>
                  <m:r>
                    <m:rPr>
                      <m:sty m:val="bi"/>
                    </m:rPr>
                    <w:rPr>
                      <w:rFonts w:ascii="Cambria Math" w:hAnsi="Cambria Math"/>
                      <w:sz w:val="16"/>
                      <w:szCs w:val="16"/>
                    </w:rPr>
                    <m:t>,</m:t>
                  </m:r>
                  <m:r>
                    <m:rPr>
                      <m:sty m:val="bi"/>
                    </m:rPr>
                    <w:rPr>
                      <w:rFonts w:ascii="Cambria Math" w:hAnsi="Cambria Math" w:cs="Cambria Math"/>
                      <w:sz w:val="16"/>
                      <w:szCs w:val="16"/>
                    </w:rPr>
                    <m:t>a</m:t>
                  </m:r>
                </m:sub>
              </m:sSub>
            </m:oMath>
            <w:r w:rsidR="007E629C" w:rsidRPr="00CF7F88">
              <w:rPr>
                <w:rFonts w:ascii="Tahoma" w:hAnsi="Tahoma" w:cs="Tahoma"/>
                <w:sz w:val="16"/>
                <w:szCs w:val="16"/>
              </w:rPr>
              <w:t>)</w:t>
            </w:r>
          </w:p>
        </w:tc>
        <w:tc>
          <w:tcPr>
            <w:tcW w:w="636" w:type="pct"/>
            <w:vAlign w:val="center"/>
          </w:tcPr>
          <w:p w14:paraId="0FF50E45" w14:textId="4EF87DF1" w:rsidR="007E629C" w:rsidRPr="00CF7F88" w:rsidRDefault="002F7A3A" w:rsidP="00CF7F88">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Pr>
                <w:rFonts w:ascii="Tahoma" w:hAnsi="Tahoma" w:cs="Tahoma"/>
                <w:b/>
                <w:bCs/>
                <w:sz w:val="16"/>
                <w:szCs w:val="16"/>
                <w:lang w:eastAsia="en-GB"/>
              </w:rPr>
              <w:t>4.759</w:t>
            </w:r>
          </w:p>
        </w:tc>
        <w:tc>
          <w:tcPr>
            <w:tcW w:w="632" w:type="pct"/>
            <w:vAlign w:val="center"/>
          </w:tcPr>
          <w:p w14:paraId="47311EF8" w14:textId="40FC01AC" w:rsidR="007E629C" w:rsidRPr="00CF7F88" w:rsidRDefault="002F7A3A" w:rsidP="00CF7F88">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Pr>
                <w:rFonts w:ascii="Tahoma" w:hAnsi="Tahoma" w:cs="Tahoma"/>
                <w:b/>
                <w:bCs/>
                <w:sz w:val="16"/>
                <w:szCs w:val="16"/>
                <w:lang w:eastAsia="en-GB"/>
              </w:rPr>
              <w:t>7.101</w:t>
            </w:r>
          </w:p>
        </w:tc>
      </w:tr>
    </w:tbl>
    <w:p w14:paraId="2CDDE20F" w14:textId="45014A8D" w:rsidR="00700758" w:rsidRPr="00EE02F0" w:rsidRDefault="00103E93" w:rsidP="00EE02F0">
      <w:pPr>
        <w:pStyle w:val="Didascalia"/>
        <w:spacing w:before="240" w:after="0" w:line="360" w:lineRule="auto"/>
        <w:ind w:left="357"/>
      </w:pPr>
      <w:r w:rsidRPr="00B24301">
        <w:t xml:space="preserve">Tabella </w:t>
      </w:r>
      <w:r w:rsidR="003E1024">
        <w:fldChar w:fldCharType="begin"/>
      </w:r>
      <w:r w:rsidR="003E1024">
        <w:instrText xml:space="preserve"> SEQ Tabella \* ARABIC </w:instrText>
      </w:r>
      <w:r w:rsidR="003E1024">
        <w:fldChar w:fldCharType="separate"/>
      </w:r>
      <w:r w:rsidR="005E1B58">
        <w:rPr>
          <w:noProof/>
        </w:rPr>
        <w:t>54</w:t>
      </w:r>
      <w:r w:rsidR="003E1024">
        <w:rPr>
          <w:noProof/>
        </w:rPr>
        <w:fldChar w:fldCharType="end"/>
      </w:r>
      <w:r w:rsidR="00700758">
        <w:t xml:space="preserve"> determinazione delle componenti a conguaglio dei costi fissi</w:t>
      </w:r>
    </w:p>
    <w:tbl>
      <w:tblPr>
        <w:tblStyle w:val="Tabellagriglia1chiara-colore1"/>
        <w:tblW w:w="4996" w:type="pct"/>
        <w:tblLook w:val="04A0" w:firstRow="1" w:lastRow="0" w:firstColumn="1" w:lastColumn="0" w:noHBand="0" w:noVBand="1"/>
      </w:tblPr>
      <w:tblGrid>
        <w:gridCol w:w="7182"/>
        <w:gridCol w:w="1224"/>
        <w:gridCol w:w="1214"/>
      </w:tblGrid>
      <w:tr w:rsidR="007E629C" w14:paraId="35053D79" w14:textId="77777777" w:rsidTr="005E1B58">
        <w:trPr>
          <w:cnfStyle w:val="100000000000" w:firstRow="1" w:lastRow="0" w:firstColumn="0" w:lastColumn="0" w:oddVBand="0" w:evenVBand="0" w:oddHBand="0" w:evenHBand="0" w:firstRowFirstColumn="0" w:firstRowLastColumn="0" w:lastRowFirstColumn="0" w:lastRowLastColumn="0"/>
          <w:trHeight w:val="377"/>
          <w:tblHeader/>
        </w:trPr>
        <w:tc>
          <w:tcPr>
            <w:cnfStyle w:val="001000000000" w:firstRow="0" w:lastRow="0" w:firstColumn="1" w:lastColumn="0" w:oddVBand="0" w:evenVBand="0" w:oddHBand="0" w:evenHBand="0" w:firstRowFirstColumn="0" w:firstRowLastColumn="0" w:lastRowFirstColumn="0" w:lastRowLastColumn="0"/>
            <w:tcW w:w="3733" w:type="pct"/>
            <w:vAlign w:val="center"/>
          </w:tcPr>
          <w:p w14:paraId="57362281" w14:textId="77777777" w:rsidR="007E629C" w:rsidRPr="00A33C0A" w:rsidRDefault="007E629C" w:rsidP="00CF7F88">
            <w:pPr>
              <w:jc w:val="center"/>
              <w:rPr>
                <w:rFonts w:ascii="Tahoma" w:hAnsi="Tahoma" w:cs="Tahoma"/>
                <w:sz w:val="16"/>
                <w:szCs w:val="16"/>
                <w:lang w:eastAsia="en-GB"/>
              </w:rPr>
            </w:pPr>
            <w:r w:rsidRPr="00A33C0A">
              <w:rPr>
                <w:rFonts w:ascii="Tahoma" w:hAnsi="Tahoma" w:cs="Tahoma"/>
                <w:sz w:val="16"/>
                <w:szCs w:val="16"/>
                <w:lang w:eastAsia="en-GB"/>
              </w:rPr>
              <w:t>Componente</w:t>
            </w:r>
          </w:p>
        </w:tc>
        <w:tc>
          <w:tcPr>
            <w:tcW w:w="636" w:type="pct"/>
            <w:vAlign w:val="center"/>
          </w:tcPr>
          <w:p w14:paraId="3D85DEA0" w14:textId="77777777" w:rsidR="007E629C" w:rsidRPr="00A33C0A" w:rsidRDefault="007E629C" w:rsidP="00CF7F88">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16"/>
                <w:szCs w:val="16"/>
                <w:lang w:eastAsia="en-GB"/>
              </w:rPr>
            </w:pPr>
            <w:r w:rsidRPr="00A33C0A">
              <w:rPr>
                <w:rFonts w:ascii="Tahoma" w:hAnsi="Tahoma" w:cs="Tahoma"/>
                <w:sz w:val="16"/>
                <w:szCs w:val="16"/>
                <w:lang w:eastAsia="en-GB"/>
              </w:rPr>
              <w:t>PEF 2024</w:t>
            </w:r>
          </w:p>
        </w:tc>
        <w:tc>
          <w:tcPr>
            <w:tcW w:w="631" w:type="pct"/>
            <w:vAlign w:val="center"/>
          </w:tcPr>
          <w:p w14:paraId="53BA8175" w14:textId="77777777" w:rsidR="007E629C" w:rsidRPr="00A33C0A" w:rsidRDefault="007E629C" w:rsidP="00CF7F88">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lang w:eastAsia="en-GB"/>
              </w:rPr>
            </w:pPr>
            <w:r w:rsidRPr="00A33C0A">
              <w:rPr>
                <w:rFonts w:ascii="Tahoma" w:hAnsi="Tahoma" w:cs="Tahoma"/>
                <w:sz w:val="16"/>
                <w:szCs w:val="16"/>
                <w:lang w:eastAsia="en-GB"/>
              </w:rPr>
              <w:t>PEF 2025</w:t>
            </w:r>
          </w:p>
        </w:tc>
      </w:tr>
      <w:tr w:rsidR="005E1B58" w:rsidRPr="00EA0792" w14:paraId="4390C11A" w14:textId="77777777" w:rsidTr="005E1B58">
        <w:trPr>
          <w:trHeight w:val="506"/>
        </w:trPr>
        <w:tc>
          <w:tcPr>
            <w:cnfStyle w:val="001000000000" w:firstRow="0" w:lastRow="0" w:firstColumn="1" w:lastColumn="0" w:oddVBand="0" w:evenVBand="0" w:oddHBand="0" w:evenHBand="0" w:firstRowFirstColumn="0" w:firstRowLastColumn="0" w:lastRowFirstColumn="0" w:lastRowLastColumn="0"/>
            <w:tcW w:w="3733" w:type="pct"/>
            <w:vAlign w:val="center"/>
          </w:tcPr>
          <w:p w14:paraId="73BF6ED7" w14:textId="3FD092A3" w:rsidR="005E1B58" w:rsidRPr="003F69A6" w:rsidRDefault="005E1B58" w:rsidP="005E1B58">
            <w:pPr>
              <w:jc w:val="left"/>
              <w:rPr>
                <w:rFonts w:ascii="Tahoma" w:hAnsi="Tahoma" w:cs="Tahoma"/>
                <w:sz w:val="16"/>
                <w:szCs w:val="16"/>
                <w:lang w:eastAsia="en-GB"/>
              </w:rPr>
            </w:pPr>
            <w:r w:rsidRPr="003223AE">
              <w:rPr>
                <w:rFonts w:ascii="Tahoma" w:hAnsi="Tahoma" w:cs="Tahoma"/>
                <w:b w:val="0"/>
                <w:bCs w:val="0"/>
                <w:sz w:val="16"/>
                <w:szCs w:val="16"/>
                <w:lang w:eastAsia="en-GB"/>
              </w:rPr>
              <w:t>Recupero</w:t>
            </w:r>
            <w:r>
              <w:rPr>
                <w:rFonts w:ascii="Tahoma" w:hAnsi="Tahoma" w:cs="Tahoma"/>
                <w:b w:val="0"/>
                <w:bCs w:val="0"/>
                <w:sz w:val="16"/>
                <w:szCs w:val="16"/>
                <w:lang w:eastAsia="en-GB"/>
              </w:rPr>
              <w:t xml:space="preserve"> </w:t>
            </w:r>
            <w:r w:rsidRPr="003223AE">
              <w:rPr>
                <w:rFonts w:ascii="Cambria Math" w:hAnsi="Cambria Math" w:cs="Tahoma"/>
                <w:b w:val="0"/>
                <w:bCs w:val="0"/>
                <w:i/>
                <w:iCs/>
                <w:sz w:val="16"/>
                <w:szCs w:val="16"/>
                <w:lang w:eastAsia="en-GB"/>
              </w:rPr>
              <w:t>WACC</w:t>
            </w:r>
            <w:r w:rsidRPr="003223AE">
              <w:rPr>
                <w:rFonts w:ascii="Tahoma" w:hAnsi="Tahoma" w:cs="Tahoma"/>
                <w:b w:val="0"/>
                <w:bCs w:val="0"/>
                <w:sz w:val="16"/>
                <w:szCs w:val="16"/>
                <w:lang w:eastAsia="en-GB"/>
              </w:rPr>
              <w:t xml:space="preserve">, </w:t>
            </w:r>
            <m:oMath>
              <m:sSub>
                <m:sSubPr>
                  <m:ctrlPr>
                    <w:rPr>
                      <w:rFonts w:ascii="Cambria Math" w:hAnsi="Cambria Math" w:cs="Tahoma"/>
                      <w:b w:val="0"/>
                      <w:bCs w:val="0"/>
                      <w:i/>
                      <w:sz w:val="16"/>
                      <w:szCs w:val="16"/>
                      <w:lang w:eastAsia="en-GB"/>
                    </w:rPr>
                  </m:ctrlPr>
                </m:sSubPr>
                <m:e>
                  <m:r>
                    <m:rPr>
                      <m:sty m:val="bi"/>
                    </m:rPr>
                    <w:rPr>
                      <w:rFonts w:ascii="Cambria Math" w:hAnsi="Cambria Math" w:cs="Tahoma"/>
                      <w:sz w:val="16"/>
                      <w:szCs w:val="16"/>
                      <w:lang w:eastAsia="en-GB"/>
                    </w:rPr>
                    <m:t>WACC</m:t>
                  </m:r>
                </m:e>
                <m:sub>
                  <m:r>
                    <m:rPr>
                      <m:sty m:val="bi"/>
                    </m:rPr>
                    <w:rPr>
                      <w:rFonts w:ascii="Cambria Math" w:hAnsi="Cambria Math" w:cs="Tahoma"/>
                      <w:sz w:val="16"/>
                      <w:szCs w:val="16"/>
                      <w:lang w:eastAsia="en-GB"/>
                    </w:rPr>
                    <m:t>RID</m:t>
                  </m:r>
                </m:sub>
              </m:sSub>
            </m:oMath>
            <w:r w:rsidRPr="003223AE">
              <w:rPr>
                <w:rFonts w:ascii="Tahoma" w:hAnsi="Tahoma" w:cs="Tahoma"/>
                <w:b w:val="0"/>
                <w:bCs w:val="0"/>
                <w:sz w:val="16"/>
                <w:szCs w:val="16"/>
                <w:lang w:eastAsia="en-GB"/>
              </w:rPr>
              <w:t xml:space="preserve">, </w:t>
            </w:r>
            <m:oMath>
              <m:sSup>
                <m:sSupPr>
                  <m:ctrlPr>
                    <w:rPr>
                      <w:rFonts w:ascii="Cambria Math" w:hAnsi="Cambria Math" w:cs="Tahoma"/>
                      <w:b w:val="0"/>
                      <w:bCs w:val="0"/>
                      <w:i/>
                      <w:sz w:val="16"/>
                      <w:szCs w:val="16"/>
                      <w:lang w:eastAsia="en-GB"/>
                    </w:rPr>
                  </m:ctrlPr>
                </m:sSupPr>
                <m:e>
                  <m:r>
                    <m:rPr>
                      <m:sty m:val="bi"/>
                    </m:rPr>
                    <w:rPr>
                      <w:rFonts w:ascii="Cambria Math" w:hAnsi="Cambria Math" w:cs="Tahoma"/>
                      <w:sz w:val="16"/>
                      <w:szCs w:val="16"/>
                      <w:lang w:eastAsia="en-GB"/>
                    </w:rPr>
                    <m:t>Kd</m:t>
                  </m:r>
                </m:e>
                <m:sup>
                  <m:r>
                    <m:rPr>
                      <m:sty m:val="bi"/>
                    </m:rPr>
                    <w:rPr>
                      <w:rFonts w:ascii="Cambria Math" w:hAnsi="Cambria Math" w:cs="Tahoma"/>
                      <w:sz w:val="16"/>
                      <w:szCs w:val="16"/>
                      <w:lang w:eastAsia="en-GB"/>
                    </w:rPr>
                    <m:t>real</m:t>
                  </m:r>
                </m:sup>
              </m:sSup>
            </m:oMath>
          </w:p>
        </w:tc>
        <w:tc>
          <w:tcPr>
            <w:tcW w:w="636" w:type="pct"/>
            <w:vAlign w:val="center"/>
          </w:tcPr>
          <w:p w14:paraId="120C11FD" w14:textId="07BF3CC2" w:rsidR="005E1B58" w:rsidRPr="00CC5C40" w:rsidRDefault="00A014A8" w:rsidP="00CC5C40">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Pr>
                <w:rFonts w:ascii="Tahoma" w:hAnsi="Tahoma" w:cs="Tahoma"/>
                <w:b/>
                <w:bCs/>
                <w:sz w:val="16"/>
                <w:szCs w:val="16"/>
                <w:lang w:eastAsia="en-GB"/>
              </w:rPr>
              <w:t>649</w:t>
            </w:r>
          </w:p>
        </w:tc>
        <w:tc>
          <w:tcPr>
            <w:tcW w:w="631" w:type="pct"/>
            <w:vAlign w:val="center"/>
          </w:tcPr>
          <w:p w14:paraId="741ACF54" w14:textId="4D493B07" w:rsidR="005E1B58" w:rsidRPr="00CC5C40" w:rsidRDefault="00A014A8" w:rsidP="00CC5C40">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Pr>
                <w:rFonts w:ascii="Tahoma" w:hAnsi="Tahoma" w:cs="Tahoma"/>
                <w:b/>
                <w:bCs/>
                <w:sz w:val="16"/>
                <w:szCs w:val="16"/>
                <w:lang w:eastAsia="en-GB"/>
              </w:rPr>
              <w:t>1.385</w:t>
            </w:r>
          </w:p>
        </w:tc>
      </w:tr>
      <w:tr w:rsidR="0081525D" w:rsidRPr="00EA0792" w14:paraId="64D55FA3" w14:textId="77777777" w:rsidTr="005E1B58">
        <w:trPr>
          <w:trHeight w:val="507"/>
        </w:trPr>
        <w:tc>
          <w:tcPr>
            <w:cnfStyle w:val="001000000000" w:firstRow="0" w:lastRow="0" w:firstColumn="1" w:lastColumn="0" w:oddVBand="0" w:evenVBand="0" w:oddHBand="0" w:evenHBand="0" w:firstRowFirstColumn="0" w:firstRowLastColumn="0" w:lastRowFirstColumn="0" w:lastRowLastColumn="0"/>
            <w:tcW w:w="3733" w:type="pct"/>
            <w:vAlign w:val="center"/>
          </w:tcPr>
          <w:p w14:paraId="6C10A492" w14:textId="0615CA8A" w:rsidR="0081525D" w:rsidRPr="00A33C0A" w:rsidRDefault="0081525D" w:rsidP="0081525D">
            <w:pPr>
              <w:jc w:val="left"/>
              <w:rPr>
                <w:rFonts w:ascii="Tahoma" w:hAnsi="Tahoma" w:cs="Tahoma"/>
                <w:b w:val="0"/>
                <w:bCs w:val="0"/>
                <w:sz w:val="16"/>
                <w:szCs w:val="16"/>
                <w:lang w:eastAsia="en-GB"/>
              </w:rPr>
            </w:pPr>
            <w:r>
              <w:rPr>
                <w:rFonts w:ascii="Tahoma" w:hAnsi="Tahoma" w:cs="Tahoma"/>
                <w:sz w:val="16"/>
                <w:szCs w:val="16"/>
                <w:lang w:eastAsia="en-GB"/>
              </w:rPr>
              <w:t>C</w:t>
            </w:r>
            <w:r w:rsidRPr="00CF7F88">
              <w:rPr>
                <w:rFonts w:ascii="Tahoma" w:hAnsi="Tahoma" w:cs="Tahoma"/>
                <w:sz w:val="16"/>
                <w:szCs w:val="16"/>
                <w:lang w:eastAsia="en-GB"/>
              </w:rPr>
              <w:t>onguaglio relativo ai costi variabili (</w:t>
            </w:r>
            <m:oMath>
              <m:sSub>
                <m:sSubPr>
                  <m:ctrlPr>
                    <w:rPr>
                      <w:rFonts w:ascii="Cambria Math" w:hAnsi="Cambria Math" w:cs="Cambria Math"/>
                      <w:i/>
                      <w:sz w:val="16"/>
                      <w:szCs w:val="16"/>
                    </w:rPr>
                  </m:ctrlPr>
                </m:sSubPr>
                <m:e>
                  <m:r>
                    <m:rPr>
                      <m:sty m:val="bi"/>
                    </m:rPr>
                    <w:rPr>
                      <w:rFonts w:ascii="Cambria Math" w:hAnsi="Cambria Math" w:cs="Cambria Math"/>
                      <w:sz w:val="16"/>
                      <w:szCs w:val="16"/>
                    </w:rPr>
                    <m:t>RCtot</m:t>
                  </m:r>
                </m:e>
                <m:sub>
                  <m:r>
                    <m:rPr>
                      <m:sty m:val="bi"/>
                    </m:rPr>
                    <w:rPr>
                      <w:rFonts w:ascii="Cambria Math" w:hAnsi="Cambria Math" w:cs="Cambria Math"/>
                      <w:sz w:val="16"/>
                      <w:szCs w:val="16"/>
                    </w:rPr>
                    <m:t>TF</m:t>
                  </m:r>
                  <m:r>
                    <m:rPr>
                      <m:sty m:val="bi"/>
                    </m:rPr>
                    <w:rPr>
                      <w:rFonts w:ascii="Cambria Math" w:hAnsi="Cambria Math"/>
                      <w:sz w:val="16"/>
                      <w:szCs w:val="16"/>
                    </w:rPr>
                    <m:t>,</m:t>
                  </m:r>
                  <m:r>
                    <m:rPr>
                      <m:sty m:val="bi"/>
                    </m:rPr>
                    <w:rPr>
                      <w:rFonts w:ascii="Cambria Math" w:hAnsi="Cambria Math" w:cs="Cambria Math"/>
                      <w:sz w:val="16"/>
                      <w:szCs w:val="16"/>
                    </w:rPr>
                    <m:t>a</m:t>
                  </m:r>
                </m:sub>
              </m:sSub>
            </m:oMath>
            <w:r w:rsidRPr="00CF7F88">
              <w:rPr>
                <w:rFonts w:ascii="Tahoma" w:hAnsi="Tahoma" w:cs="Tahoma"/>
                <w:sz w:val="16"/>
                <w:szCs w:val="16"/>
              </w:rPr>
              <w:t>)</w:t>
            </w:r>
          </w:p>
        </w:tc>
        <w:tc>
          <w:tcPr>
            <w:tcW w:w="636" w:type="pct"/>
            <w:vAlign w:val="center"/>
          </w:tcPr>
          <w:p w14:paraId="54C2DBA7" w14:textId="2116BBA2" w:rsidR="0081525D" w:rsidRPr="00CC5C40" w:rsidRDefault="0039143D" w:rsidP="0081525D">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Pr>
                <w:rFonts w:ascii="Tahoma" w:hAnsi="Tahoma" w:cs="Tahoma"/>
                <w:b/>
                <w:bCs/>
                <w:sz w:val="16"/>
                <w:szCs w:val="16"/>
                <w:lang w:eastAsia="en-GB"/>
              </w:rPr>
              <w:t>5.408</w:t>
            </w:r>
          </w:p>
        </w:tc>
        <w:tc>
          <w:tcPr>
            <w:tcW w:w="631" w:type="pct"/>
            <w:vAlign w:val="center"/>
          </w:tcPr>
          <w:p w14:paraId="52716FA8" w14:textId="317FCFA9" w:rsidR="0081525D" w:rsidRPr="00CC5C40" w:rsidRDefault="0039143D" w:rsidP="0081525D">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z w:val="16"/>
                <w:szCs w:val="16"/>
                <w:lang w:eastAsia="en-GB"/>
              </w:rPr>
            </w:pPr>
            <w:r>
              <w:rPr>
                <w:rFonts w:ascii="Tahoma" w:hAnsi="Tahoma" w:cs="Tahoma"/>
                <w:b/>
                <w:bCs/>
                <w:sz w:val="16"/>
                <w:szCs w:val="16"/>
                <w:lang w:eastAsia="en-GB"/>
              </w:rPr>
              <w:t>8.486</w:t>
            </w:r>
          </w:p>
        </w:tc>
      </w:tr>
    </w:tbl>
    <w:p w14:paraId="68C2E7B9" w14:textId="77777777" w:rsidR="00700758" w:rsidRDefault="00700758" w:rsidP="00700758">
      <w:pPr>
        <w:rPr>
          <w:lang w:eastAsia="en-GB"/>
        </w:rPr>
      </w:pPr>
    </w:p>
    <w:p w14:paraId="1840998C" w14:textId="77777777" w:rsidR="00700758" w:rsidRPr="00190B41" w:rsidRDefault="00700758" w:rsidP="00DA3A0C">
      <w:pPr>
        <w:pStyle w:val="Titolo2"/>
      </w:pPr>
      <w:bookmarkStart w:id="52" w:name="_Toc93658157"/>
      <w:bookmarkStart w:id="53" w:name="_Toc163127428"/>
      <w:r>
        <w:t>Valutazioni in ordine all’equilibrio economico finanziario</w:t>
      </w:r>
      <w:bookmarkEnd w:id="52"/>
      <w:bookmarkEnd w:id="53"/>
    </w:p>
    <w:p w14:paraId="014F5493" w14:textId="3BC98522" w:rsidR="00700758" w:rsidRDefault="00700758" w:rsidP="00700758">
      <w:pPr>
        <w:rPr>
          <w:rFonts w:asciiTheme="minorHAnsi" w:hAnsiTheme="minorHAnsi"/>
          <w:lang w:eastAsia="en-GB"/>
        </w:rPr>
      </w:pPr>
      <w:r>
        <w:t>L’Ente scrivente ha verificato che il PEF allegato consenta il raggiungimento dell'equilibrio economico-finanziario e, in ogni caso, il rispetto dei principi di efficacia, efficienza ed economicità della gestione, anche in relazione agli investimenti programmati, secondo quanto disposto dall’art. 27.5 del MTR-2</w:t>
      </w:r>
      <w:r w:rsidR="005E1B58">
        <w:t xml:space="preserve"> aggiornato</w:t>
      </w:r>
      <w:r>
        <w:t>.</w:t>
      </w:r>
    </w:p>
    <w:p w14:paraId="5B6C2E2B" w14:textId="2F3E43E6" w:rsidR="00700758" w:rsidRDefault="00700758" w:rsidP="00700758">
      <w:r>
        <w:t xml:space="preserve">L’analisi della documentazione trasmessa dal </w:t>
      </w:r>
      <w:r w:rsidR="00CF7F88">
        <w:t>G</w:t>
      </w:r>
      <w:r>
        <w:t xml:space="preserve">estore non evidenzia elementi per cui debba ritenersi che il PEF allegato, con particolare riferimento delle entrate tariffarie riconoscibili, sia in contrasto con </w:t>
      </w:r>
      <w:proofErr w:type="gramStart"/>
      <w:r>
        <w:t>il  criterio</w:t>
      </w:r>
      <w:proofErr w:type="gramEnd"/>
      <w:r>
        <w:t xml:space="preserve"> dell’equilibrio economico e finanziario della gestione.</w:t>
      </w:r>
    </w:p>
    <w:p w14:paraId="5799D960" w14:textId="0D9D19A4" w:rsidR="00700758" w:rsidRPr="00871EBB" w:rsidRDefault="00700758" w:rsidP="00DA3A0C">
      <w:pPr>
        <w:pStyle w:val="Titolo2"/>
      </w:pPr>
      <w:bookmarkStart w:id="54" w:name="_Ref96415455"/>
      <w:bookmarkStart w:id="55" w:name="_Toc163127429"/>
      <w:r w:rsidRPr="00871EBB">
        <w:t>Rinuncia al riconosciment</w:t>
      </w:r>
      <w:r w:rsidR="00B12863" w:rsidRPr="00871EBB">
        <w:t>o</w:t>
      </w:r>
      <w:r w:rsidRPr="00871EBB">
        <w:t xml:space="preserve"> di alcune componenti di costo</w:t>
      </w:r>
      <w:bookmarkEnd w:id="54"/>
      <w:bookmarkEnd w:id="55"/>
    </w:p>
    <w:p w14:paraId="44350E31" w14:textId="5D7EC947" w:rsidR="00700758" w:rsidRDefault="00700758" w:rsidP="00700758">
      <w:r>
        <w:rPr>
          <w:lang w:eastAsia="en-GB"/>
        </w:rPr>
        <w:t>L’Ente scrivente</w:t>
      </w:r>
      <w:r w:rsidRPr="00F71F00">
        <w:rPr>
          <w:lang w:eastAsia="en-GB"/>
        </w:rPr>
        <w:t>, considerando che ai sensi dell’</w:t>
      </w:r>
      <w:r w:rsidRPr="00F71F00">
        <w:t>art 4.</w:t>
      </w:r>
      <w:r>
        <w:t>6</w:t>
      </w:r>
      <w:r w:rsidRPr="00F71F00">
        <w:t xml:space="preserve"> della deliberazione </w:t>
      </w:r>
      <w:r>
        <w:t>363</w:t>
      </w:r>
      <w:r w:rsidRPr="00F71F00">
        <w:t>/20</w:t>
      </w:r>
      <w:r>
        <w:t>21</w:t>
      </w:r>
      <w:r w:rsidRPr="00F71F00">
        <w:t>/R/</w:t>
      </w:r>
      <w:r w:rsidRPr="004642E8">
        <w:rPr>
          <w:smallCaps/>
        </w:rPr>
        <w:t>rif</w:t>
      </w:r>
      <w:r w:rsidRPr="00F71F00">
        <w:t>: “</w:t>
      </w:r>
      <w:r w:rsidRPr="00F71F00">
        <w:rPr>
          <w:i/>
          <w:iCs/>
        </w:rPr>
        <w:t>In attuazione dell’articolo 2, comma 17, della legge 481/95, le entrate tariffarie determinate ai sensi del MTR</w:t>
      </w:r>
      <w:r>
        <w:rPr>
          <w:i/>
          <w:iCs/>
        </w:rPr>
        <w:t>-2</w:t>
      </w:r>
      <w:r w:rsidRPr="00F71F00">
        <w:rPr>
          <w:i/>
          <w:iCs/>
        </w:rPr>
        <w:t xml:space="preserve"> sono considerate come valori massimi. È comunque possibile, in caso di equilibrio economico finanziario della gestione, applicare valori inferiori</w:t>
      </w:r>
      <w:r>
        <w:rPr>
          <w:i/>
          <w:iCs/>
        </w:rPr>
        <w:t>…</w:t>
      </w:r>
      <w:r w:rsidRPr="00F71F00">
        <w:t xml:space="preserve">”, </w:t>
      </w:r>
      <w:r w:rsidRPr="00F71F00">
        <w:rPr>
          <w:lang w:eastAsia="en-GB"/>
        </w:rPr>
        <w:t xml:space="preserve">intende </w:t>
      </w:r>
      <w:r>
        <w:rPr>
          <w:lang w:eastAsia="en-GB"/>
        </w:rPr>
        <w:t>avvalersi di tale facoltà</w:t>
      </w:r>
      <w:r w:rsidRPr="00F71F00">
        <w:t xml:space="preserve"> applica</w:t>
      </w:r>
      <w:r>
        <w:t>ndo</w:t>
      </w:r>
      <w:r w:rsidRPr="00F71F00">
        <w:t xml:space="preserve"> valori inferiori</w:t>
      </w:r>
      <w:r>
        <w:t xml:space="preserve"> rispetto a quelli ottenuti in applicazione del MTR-2</w:t>
      </w:r>
      <w:r w:rsidR="005E1B58">
        <w:t xml:space="preserve"> aggiornato</w:t>
      </w:r>
      <w:r>
        <w:t xml:space="preserve">. </w:t>
      </w:r>
    </w:p>
    <w:p w14:paraId="321B76D2" w14:textId="13499598" w:rsidR="00700758" w:rsidRDefault="00700758" w:rsidP="00700758">
      <w:pPr>
        <w:rPr>
          <w:rFonts w:asciiTheme="minorHAnsi" w:hAnsiTheme="minorHAnsi"/>
          <w:lang w:eastAsia="en-GB"/>
        </w:rPr>
      </w:pPr>
      <w:r>
        <w:rPr>
          <w:lang w:eastAsia="en-GB"/>
        </w:rPr>
        <w:t xml:space="preserve">L’Ente scrivente </w:t>
      </w:r>
      <w:r w:rsidRPr="00F71F00">
        <w:rPr>
          <w:lang w:eastAsia="en-GB"/>
        </w:rPr>
        <w:t xml:space="preserve">intende </w:t>
      </w:r>
      <w:r w:rsidR="00630729">
        <w:rPr>
          <w:lang w:eastAsia="en-GB"/>
        </w:rPr>
        <w:t xml:space="preserve">non </w:t>
      </w:r>
      <w:r>
        <w:rPr>
          <w:lang w:eastAsia="en-GB"/>
        </w:rPr>
        <w:t>applicare le entrate tariffarie risultanti dall’applicazione del MTR-2</w:t>
      </w:r>
      <w:r w:rsidR="005E1B58">
        <w:rPr>
          <w:lang w:eastAsia="en-GB"/>
        </w:rPr>
        <w:t xml:space="preserve"> aggiornato</w:t>
      </w:r>
      <w:r w:rsidR="001D31F4">
        <w:rPr>
          <w:lang w:eastAsia="en-GB"/>
        </w:rPr>
        <w:t xml:space="preserve"> e</w:t>
      </w:r>
      <w:r>
        <w:rPr>
          <w:lang w:eastAsia="en-GB"/>
        </w:rPr>
        <w:t xml:space="preserve"> intende pertanto avvalersi della facoltà prevista </w:t>
      </w:r>
      <w:r w:rsidRPr="00F71F00">
        <w:rPr>
          <w:lang w:eastAsia="en-GB"/>
        </w:rPr>
        <w:t>d</w:t>
      </w:r>
      <w:r>
        <w:rPr>
          <w:lang w:eastAsia="en-GB"/>
        </w:rPr>
        <w:t>a</w:t>
      </w:r>
      <w:r w:rsidRPr="00F71F00">
        <w:rPr>
          <w:lang w:eastAsia="en-GB"/>
        </w:rPr>
        <w:t>ll’</w:t>
      </w:r>
      <w:r w:rsidRPr="00F71F00">
        <w:t>art 4.</w:t>
      </w:r>
      <w:r>
        <w:t>6</w:t>
      </w:r>
      <w:r w:rsidRPr="00F71F00">
        <w:t xml:space="preserve"> della deliberazione </w:t>
      </w:r>
      <w:r>
        <w:t>363</w:t>
      </w:r>
      <w:r w:rsidRPr="00F71F00">
        <w:t>/20</w:t>
      </w:r>
      <w:r>
        <w:t>21</w:t>
      </w:r>
      <w:r w:rsidRPr="00F71F00">
        <w:t>/R/</w:t>
      </w:r>
      <w:r w:rsidRPr="004642E8">
        <w:rPr>
          <w:smallCaps/>
        </w:rPr>
        <w:t>rif</w:t>
      </w:r>
      <w:r w:rsidRPr="00F71F00">
        <w:t>: “</w:t>
      </w:r>
      <w:r w:rsidRPr="00F71F00">
        <w:rPr>
          <w:i/>
          <w:iCs/>
        </w:rPr>
        <w:t>In attuazione dell’articolo 2, comma 17, della legge 481/95, le entrate tariffarie determinate ai sensi del MTR</w:t>
      </w:r>
      <w:r>
        <w:rPr>
          <w:i/>
          <w:iCs/>
        </w:rPr>
        <w:t>-2</w:t>
      </w:r>
      <w:r w:rsidRPr="00F71F00">
        <w:rPr>
          <w:i/>
          <w:iCs/>
        </w:rPr>
        <w:t xml:space="preserve"> sono considerate come valori massimi. È comunque possibile, in caso di equilibrio economico finanziario della gestione, applicare valori </w:t>
      </w:r>
      <w:proofErr w:type="gramStart"/>
      <w:r w:rsidRPr="00F71F00">
        <w:rPr>
          <w:i/>
          <w:iCs/>
        </w:rPr>
        <w:t>inferior</w:t>
      </w:r>
      <w:r w:rsidR="00906CEF">
        <w:rPr>
          <w:i/>
          <w:iCs/>
        </w:rPr>
        <w:t xml:space="preserve">i </w:t>
      </w:r>
      <w:r w:rsidRPr="00F71F00">
        <w:t>”</w:t>
      </w:r>
      <w:proofErr w:type="gramEnd"/>
      <w:r w:rsidR="00906CEF">
        <w:t>, non riconoscendo dei valori al gestore.</w:t>
      </w:r>
    </w:p>
    <w:p w14:paraId="62AA2BDB" w14:textId="77777777" w:rsidR="00700758" w:rsidRDefault="00700758" w:rsidP="00700758">
      <w:pPr>
        <w:rPr>
          <w:rFonts w:asciiTheme="minorHAnsi" w:hAnsiTheme="minorHAnsi"/>
          <w:lang w:eastAsia="en-GB"/>
        </w:rPr>
      </w:pPr>
    </w:p>
    <w:p w14:paraId="35615B08" w14:textId="77777777" w:rsidR="00700758" w:rsidRPr="00190B41" w:rsidRDefault="00700758" w:rsidP="00DA3A0C">
      <w:pPr>
        <w:pStyle w:val="Titolo2"/>
      </w:pPr>
      <w:bookmarkStart w:id="56" w:name="_Toc163127430"/>
      <w:r>
        <w:t>Rimodulazione dei conguagli</w:t>
      </w:r>
      <w:bookmarkEnd w:id="56"/>
    </w:p>
    <w:p w14:paraId="72EE2003" w14:textId="12473ACB" w:rsidR="00700758" w:rsidRDefault="00700758" w:rsidP="00700758">
      <w:r>
        <w:t>Ai fini della quantificazione delle componenti</w:t>
      </w:r>
      <w:r w:rsidR="00CF7F88">
        <w:t xml:space="preserve"> </w:t>
      </w:r>
      <m:oMath>
        <m:sSub>
          <m:sSubPr>
            <m:ctrlPr>
              <w:rPr>
                <w:rFonts w:ascii="Cambria Math" w:hAnsi="Cambria Math" w:cs="Cambria Math"/>
                <w:i/>
                <w:szCs w:val="20"/>
              </w:rPr>
            </m:ctrlPr>
          </m:sSubPr>
          <m:e>
            <m:r>
              <w:rPr>
                <w:rFonts w:ascii="Cambria Math" w:hAnsi="Cambria Math" w:cs="Cambria Math"/>
                <w:szCs w:val="20"/>
              </w:rPr>
              <m:t>RCtot</m:t>
            </m:r>
          </m:e>
          <m:sub>
            <m:r>
              <w:rPr>
                <w:rFonts w:ascii="Cambria Math" w:hAnsi="Cambria Math" w:cs="Cambria Math"/>
                <w:szCs w:val="20"/>
              </w:rPr>
              <m:t>TV</m:t>
            </m:r>
            <m:r>
              <w:rPr>
                <w:rFonts w:ascii="Cambria Math" w:hAnsi="Cambria Math"/>
                <w:szCs w:val="20"/>
              </w:rPr>
              <m:t>,</m:t>
            </m:r>
            <m:r>
              <w:rPr>
                <w:rFonts w:ascii="Cambria Math" w:hAnsi="Cambria Math" w:cs="Cambria Math"/>
                <w:szCs w:val="20"/>
              </w:rPr>
              <m:t>a</m:t>
            </m:r>
          </m:sub>
        </m:sSub>
      </m:oMath>
      <w:r>
        <w:t xml:space="preserve"> e </w:t>
      </w:r>
      <m:oMath>
        <m:sSub>
          <m:sSubPr>
            <m:ctrlPr>
              <w:rPr>
                <w:rFonts w:ascii="Cambria Math" w:hAnsi="Cambria Math" w:cs="Cambria Math"/>
                <w:i/>
                <w:szCs w:val="20"/>
              </w:rPr>
            </m:ctrlPr>
          </m:sSubPr>
          <m:e>
            <m:r>
              <w:rPr>
                <w:rFonts w:ascii="Cambria Math" w:hAnsi="Cambria Math" w:cs="Cambria Math"/>
                <w:szCs w:val="20"/>
              </w:rPr>
              <m:t>RCtot</m:t>
            </m:r>
          </m:e>
          <m:sub>
            <m:r>
              <w:rPr>
                <w:rFonts w:ascii="Cambria Math" w:hAnsi="Cambria Math" w:cs="Cambria Math"/>
                <w:szCs w:val="20"/>
              </w:rPr>
              <m:t>TF</m:t>
            </m:r>
            <m:r>
              <w:rPr>
                <w:rFonts w:ascii="Cambria Math" w:hAnsi="Cambria Math"/>
                <w:szCs w:val="20"/>
              </w:rPr>
              <m:t>,</m:t>
            </m:r>
            <m:r>
              <w:rPr>
                <w:rFonts w:ascii="Cambria Math" w:hAnsi="Cambria Math" w:cs="Cambria Math"/>
                <w:szCs w:val="20"/>
              </w:rPr>
              <m:t>a</m:t>
            </m:r>
          </m:sub>
        </m:sSub>
      </m:oMath>
      <w:r w:rsidR="00CF7F88">
        <w:t xml:space="preserve"> </w:t>
      </w:r>
      <w:r>
        <w:t xml:space="preserve">descritte al paragrafo </w:t>
      </w:r>
      <w:r w:rsidR="00CF7F88">
        <w:fldChar w:fldCharType="begin"/>
      </w:r>
      <w:r w:rsidR="00CF7F88">
        <w:instrText xml:space="preserve"> REF _Ref96589060 \r \h </w:instrText>
      </w:r>
      <w:r w:rsidR="00CF7F88">
        <w:fldChar w:fldCharType="separate"/>
      </w:r>
      <w:r w:rsidR="004A2C56">
        <w:t>5.5</w:t>
      </w:r>
      <w:r w:rsidR="00CF7F88">
        <w:fldChar w:fldCharType="end"/>
      </w:r>
      <w:r w:rsidR="00CF7F88">
        <w:t>,</w:t>
      </w:r>
      <w:r>
        <w:t xml:space="preserve"> l’Ente territorialmente competente può, con procedura partecipata dal </w:t>
      </w:r>
      <w:r w:rsidR="00CF7F88">
        <w:t>G</w:t>
      </w:r>
      <w:r>
        <w:t xml:space="preserve">estore, determinare l’entità del riconoscimento degli oneri efficienti ammissibili ai sensi di quanto disposto dalla metodologia tariffaria, ma non ancora recuperati, anche provvedendo alla rimodulazione dei conguagli fra le diverse annualità del secondo periodo regolatorio, nonché eventualmente </w:t>
      </w:r>
      <w:r>
        <w:lastRenderedPageBreak/>
        <w:t>prevedendo le modalità per il recupero degli stessi anche successivamente al 2025, così come previsto dall’art.17.2 del MTR-2</w:t>
      </w:r>
      <w:r w:rsidR="005E1B58">
        <w:t xml:space="preserve"> aggiornato</w:t>
      </w:r>
      <w:r>
        <w:t>.</w:t>
      </w:r>
    </w:p>
    <w:p w14:paraId="1D0F1EB4" w14:textId="643700AE" w:rsidR="00700758" w:rsidRDefault="00700758" w:rsidP="00700758">
      <w:r>
        <w:rPr>
          <w:lang w:eastAsia="en-GB"/>
        </w:rPr>
        <w:t xml:space="preserve">L’Ente scrivente non </w:t>
      </w:r>
      <w:r w:rsidRPr="00F71F00">
        <w:rPr>
          <w:lang w:eastAsia="en-GB"/>
        </w:rPr>
        <w:t>intende</w:t>
      </w:r>
      <w:r>
        <w:rPr>
          <w:lang w:eastAsia="en-GB"/>
        </w:rPr>
        <w:t xml:space="preserve"> avvalersi della facoltà di rimodulazione dei conguagli prevista dall’art. 17.2 del MTR-2</w:t>
      </w:r>
      <w:r w:rsidR="005E1B58">
        <w:rPr>
          <w:lang w:eastAsia="en-GB"/>
        </w:rPr>
        <w:t xml:space="preserve"> aggiornato</w:t>
      </w:r>
      <w:r>
        <w:rPr>
          <w:lang w:eastAsia="en-GB"/>
        </w:rPr>
        <w:t>.</w:t>
      </w:r>
      <w:r w:rsidRPr="00F71F00">
        <w:rPr>
          <w:lang w:eastAsia="en-GB"/>
        </w:rPr>
        <w:t xml:space="preserve"> </w:t>
      </w:r>
    </w:p>
    <w:p w14:paraId="68198E12" w14:textId="77777777" w:rsidR="00700758" w:rsidRDefault="00700758" w:rsidP="00700758">
      <w:pPr>
        <w:rPr>
          <w:rFonts w:asciiTheme="minorHAnsi" w:hAnsiTheme="minorHAnsi"/>
          <w:lang w:eastAsia="en-GB"/>
        </w:rPr>
      </w:pPr>
    </w:p>
    <w:p w14:paraId="376C2899" w14:textId="77777777" w:rsidR="00700758" w:rsidRPr="00190B41" w:rsidRDefault="00700758" w:rsidP="00DA3A0C">
      <w:pPr>
        <w:pStyle w:val="Titolo2"/>
      </w:pPr>
      <w:bookmarkStart w:id="57" w:name="_Ref96415472"/>
      <w:bookmarkStart w:id="58" w:name="_Toc163127431"/>
      <w:r>
        <w:t>Rimodulazione del valore delle entrate tariffarie che eccede il limite alla variazione annuale</w:t>
      </w:r>
      <w:bookmarkEnd w:id="57"/>
      <w:bookmarkEnd w:id="58"/>
    </w:p>
    <w:p w14:paraId="6FB6EA6D" w14:textId="26F76CDD" w:rsidR="00700758" w:rsidRDefault="00700758" w:rsidP="00700758">
      <w:r>
        <w:rPr>
          <w:lang w:eastAsia="en-GB"/>
        </w:rPr>
        <w:t xml:space="preserve">L’Ente scrivente non </w:t>
      </w:r>
      <w:r w:rsidRPr="00F71F00">
        <w:rPr>
          <w:lang w:eastAsia="en-GB"/>
        </w:rPr>
        <w:t>intende</w:t>
      </w:r>
      <w:r>
        <w:rPr>
          <w:lang w:eastAsia="en-GB"/>
        </w:rPr>
        <w:t xml:space="preserve"> avvalersi della facoltà di rimodulazione </w:t>
      </w:r>
      <w:r w:rsidR="005E1B58">
        <w:rPr>
          <w:lang w:eastAsia="en-GB"/>
        </w:rPr>
        <w:t>delle entrate tariffarie</w:t>
      </w:r>
      <w:r>
        <w:rPr>
          <w:lang w:eastAsia="en-GB"/>
        </w:rPr>
        <w:t xml:space="preserve"> prevista dall’art. </w:t>
      </w:r>
      <w:r w:rsidR="005E1B58">
        <w:rPr>
          <w:lang w:eastAsia="en-GB"/>
        </w:rPr>
        <w:t>4</w:t>
      </w:r>
      <w:r>
        <w:rPr>
          <w:lang w:eastAsia="en-GB"/>
        </w:rPr>
        <w:t>.</w:t>
      </w:r>
      <w:r w:rsidR="005E1B58">
        <w:rPr>
          <w:lang w:eastAsia="en-GB"/>
        </w:rPr>
        <w:t>5</w:t>
      </w:r>
      <w:r>
        <w:rPr>
          <w:lang w:eastAsia="en-GB"/>
        </w:rPr>
        <w:t xml:space="preserve"> del MTR-2</w:t>
      </w:r>
      <w:r w:rsidR="005E1B58" w:rsidRPr="005E1B58">
        <w:rPr>
          <w:lang w:eastAsia="en-GB"/>
        </w:rPr>
        <w:t xml:space="preserve"> </w:t>
      </w:r>
      <w:r w:rsidR="005E1B58">
        <w:rPr>
          <w:lang w:eastAsia="en-GB"/>
        </w:rPr>
        <w:t>aggiornato</w:t>
      </w:r>
      <w:r>
        <w:rPr>
          <w:lang w:eastAsia="en-GB"/>
        </w:rPr>
        <w:t>.</w:t>
      </w:r>
      <w:r w:rsidRPr="00F71F00">
        <w:rPr>
          <w:lang w:eastAsia="en-GB"/>
        </w:rPr>
        <w:t xml:space="preserve"> </w:t>
      </w:r>
    </w:p>
    <w:p w14:paraId="574C4F2F" w14:textId="77777777" w:rsidR="00700758" w:rsidRDefault="00700758" w:rsidP="00700758">
      <w:pPr>
        <w:rPr>
          <w:rFonts w:asciiTheme="minorHAnsi" w:hAnsiTheme="minorHAnsi"/>
          <w:lang w:eastAsia="en-GB"/>
        </w:rPr>
      </w:pPr>
    </w:p>
    <w:p w14:paraId="25869405" w14:textId="77777777" w:rsidR="00700758" w:rsidRPr="00190B41" w:rsidRDefault="00700758" w:rsidP="00DA3A0C">
      <w:pPr>
        <w:pStyle w:val="Titolo2"/>
      </w:pPr>
      <w:bookmarkStart w:id="59" w:name="_Ref96415485"/>
      <w:bookmarkStart w:id="60" w:name="_Ref96589143"/>
      <w:bookmarkStart w:id="61" w:name="_Toc163127432"/>
      <w:r>
        <w:t>Eventuale superamento del limite alla crescita annuale delle entrate tariffarie</w:t>
      </w:r>
      <w:bookmarkEnd w:id="59"/>
      <w:bookmarkEnd w:id="60"/>
      <w:bookmarkEnd w:id="61"/>
    </w:p>
    <w:p w14:paraId="36E94468" w14:textId="5A7AB44A" w:rsidR="00700758" w:rsidRDefault="00700758" w:rsidP="00700758">
      <w:pPr>
        <w:rPr>
          <w:rFonts w:asciiTheme="minorHAnsi" w:hAnsiTheme="minorHAnsi"/>
          <w:lang w:eastAsia="en-GB"/>
        </w:rPr>
      </w:pPr>
      <w:r>
        <w:rPr>
          <w:rFonts w:asciiTheme="minorHAnsi" w:hAnsiTheme="minorHAnsi"/>
          <w:lang w:eastAsia="en-GB"/>
        </w:rPr>
        <w:t xml:space="preserve">Così come indicato al paragrafo </w:t>
      </w:r>
      <w:r w:rsidR="00B54B5E">
        <w:rPr>
          <w:rFonts w:asciiTheme="minorHAnsi" w:hAnsiTheme="minorHAnsi"/>
          <w:lang w:eastAsia="en-GB"/>
        </w:rPr>
        <w:fldChar w:fldCharType="begin"/>
      </w:r>
      <w:r w:rsidR="00B54B5E">
        <w:rPr>
          <w:rFonts w:asciiTheme="minorHAnsi" w:hAnsiTheme="minorHAnsi"/>
          <w:lang w:eastAsia="en-GB"/>
        </w:rPr>
        <w:instrText xml:space="preserve"> REF _Ref96589506 \r \h </w:instrText>
      </w:r>
      <w:r w:rsidR="00B54B5E">
        <w:rPr>
          <w:rFonts w:asciiTheme="minorHAnsi" w:hAnsiTheme="minorHAnsi"/>
          <w:lang w:eastAsia="en-GB"/>
        </w:rPr>
      </w:r>
      <w:r w:rsidR="00B54B5E">
        <w:rPr>
          <w:rFonts w:asciiTheme="minorHAnsi" w:hAnsiTheme="minorHAnsi"/>
          <w:lang w:eastAsia="en-GB"/>
        </w:rPr>
        <w:fldChar w:fldCharType="separate"/>
      </w:r>
      <w:r w:rsidR="004A2C56">
        <w:rPr>
          <w:rFonts w:asciiTheme="minorHAnsi" w:hAnsiTheme="minorHAnsi"/>
          <w:lang w:eastAsia="en-GB"/>
        </w:rPr>
        <w:t>5.1.4</w:t>
      </w:r>
      <w:r w:rsidR="00B54B5E">
        <w:rPr>
          <w:rFonts w:asciiTheme="minorHAnsi" w:hAnsiTheme="minorHAnsi"/>
          <w:lang w:eastAsia="en-GB"/>
        </w:rPr>
        <w:fldChar w:fldCharType="end"/>
      </w:r>
      <w:r>
        <w:rPr>
          <w:rFonts w:asciiTheme="minorHAnsi" w:hAnsiTheme="minorHAnsi"/>
          <w:lang w:eastAsia="en-GB"/>
        </w:rPr>
        <w:t xml:space="preserve"> della presente relazione non risulta necessario il superamento del limite annuale alla crescita delle entrate tariffarie.</w:t>
      </w:r>
    </w:p>
    <w:p w14:paraId="709B8905" w14:textId="77777777" w:rsidR="00700758" w:rsidRDefault="00700758" w:rsidP="00700758">
      <w:pPr>
        <w:rPr>
          <w:rFonts w:asciiTheme="minorHAnsi" w:hAnsiTheme="minorHAnsi"/>
          <w:lang w:eastAsia="en-GB"/>
        </w:rPr>
      </w:pPr>
    </w:p>
    <w:p w14:paraId="19E47104" w14:textId="77777777" w:rsidR="00700758" w:rsidRPr="00190B41" w:rsidRDefault="00700758" w:rsidP="00DA3A0C">
      <w:pPr>
        <w:pStyle w:val="Titolo2"/>
      </w:pPr>
      <w:bookmarkStart w:id="62" w:name="_Toc163127433"/>
      <w:r>
        <w:t>Ulteriori detrazioni</w:t>
      </w:r>
      <w:bookmarkEnd w:id="62"/>
    </w:p>
    <w:p w14:paraId="6BD06504" w14:textId="6B175E75" w:rsidR="00700758" w:rsidRDefault="00700758" w:rsidP="00700758">
      <w:pPr>
        <w:rPr>
          <w:rFonts w:asciiTheme="minorHAnsi" w:hAnsiTheme="minorHAnsi"/>
        </w:rPr>
      </w:pPr>
      <w:r>
        <w:rPr>
          <w:rFonts w:asciiTheme="minorHAnsi" w:hAnsiTheme="minorHAnsi"/>
        </w:rPr>
        <w:t xml:space="preserve">Si fornisce inoltre il dettaglio relativo alle eventuali entrate presenti nel Bilancio </w:t>
      </w:r>
      <w:r w:rsidRPr="00E921ED">
        <w:rPr>
          <w:rFonts w:asciiTheme="minorHAnsi" w:hAnsiTheme="minorHAnsi"/>
        </w:rPr>
        <w:t>dell’</w:t>
      </w:r>
      <w:r>
        <w:rPr>
          <w:rFonts w:asciiTheme="minorHAnsi" w:hAnsiTheme="minorHAnsi"/>
        </w:rPr>
        <w:t>E</w:t>
      </w:r>
      <w:r w:rsidRPr="00E921ED">
        <w:rPr>
          <w:rFonts w:asciiTheme="minorHAnsi" w:hAnsiTheme="minorHAnsi"/>
        </w:rPr>
        <w:t>nte/</w:t>
      </w:r>
      <w:r>
        <w:rPr>
          <w:rFonts w:asciiTheme="minorHAnsi" w:hAnsiTheme="minorHAnsi"/>
        </w:rPr>
        <w:t>C</w:t>
      </w:r>
      <w:r w:rsidRPr="00E921ED">
        <w:rPr>
          <w:rFonts w:asciiTheme="minorHAnsi" w:hAnsiTheme="minorHAnsi"/>
        </w:rPr>
        <w:t>omune</w:t>
      </w:r>
      <w:r>
        <w:rPr>
          <w:rFonts w:asciiTheme="minorHAnsi" w:hAnsiTheme="minorHAnsi"/>
        </w:rPr>
        <w:t xml:space="preserve"> da sottrarre, in sede di articolazione tariffaria,</w:t>
      </w:r>
      <w:r w:rsidRPr="00E921ED">
        <w:rPr>
          <w:rFonts w:asciiTheme="minorHAnsi" w:hAnsiTheme="minorHAnsi"/>
        </w:rPr>
        <w:t xml:space="preserve"> </w:t>
      </w:r>
      <w:r>
        <w:rPr>
          <w:rFonts w:asciiTheme="minorHAnsi" w:hAnsiTheme="minorHAnsi"/>
        </w:rPr>
        <w:t>dal totale dei costi del PEF di cui al comma 1</w:t>
      </w:r>
      <w:r>
        <w:rPr>
          <w:rFonts w:asciiTheme="minorHAnsi" w:hAnsiTheme="minorHAnsi"/>
          <w:lang w:eastAsia="en-GB"/>
        </w:rPr>
        <w:t>.4 della</w:t>
      </w:r>
      <w:r w:rsidRPr="00D5325D">
        <w:rPr>
          <w:rFonts w:asciiTheme="minorHAnsi" w:hAnsiTheme="minorHAnsi"/>
          <w:lang w:eastAsia="en-GB"/>
        </w:rPr>
        <w:t xml:space="preserve"> </w:t>
      </w:r>
      <w:r>
        <w:rPr>
          <w:rFonts w:asciiTheme="minorHAnsi" w:hAnsiTheme="minorHAnsi"/>
          <w:lang w:eastAsia="en-GB"/>
        </w:rPr>
        <w:t>D</w:t>
      </w:r>
      <w:r w:rsidRPr="00D5325D">
        <w:rPr>
          <w:rFonts w:asciiTheme="minorHAnsi" w:hAnsiTheme="minorHAnsi"/>
          <w:lang w:eastAsia="en-GB"/>
        </w:rPr>
        <w:t>eterminazione 2/DRIF/202</w:t>
      </w:r>
      <w:r>
        <w:rPr>
          <w:rFonts w:asciiTheme="minorHAnsi" w:hAnsiTheme="minorHAnsi"/>
          <w:lang w:eastAsia="en-GB"/>
        </w:rPr>
        <w:t>1</w:t>
      </w:r>
      <w:r>
        <w:rPr>
          <w:rFonts w:asciiTheme="minorHAnsi" w:hAnsiTheme="minorHAnsi"/>
        </w:rPr>
        <w:t xml:space="preserve"> e come rappresentate nel PEF allegato</w:t>
      </w:r>
      <w:r w:rsidRPr="007B199A">
        <w:rPr>
          <w:rFonts w:asciiTheme="minorHAnsi" w:hAnsiTheme="minorHAnsi"/>
          <w:lang w:eastAsia="en-GB"/>
        </w:rPr>
        <w:t xml:space="preserve"> </w:t>
      </w:r>
      <w:r w:rsidRPr="00F40482">
        <w:rPr>
          <w:rFonts w:asciiTheme="minorHAnsi" w:hAnsiTheme="minorHAnsi"/>
          <w:lang w:eastAsia="en-GB"/>
        </w:rPr>
        <w:t>alla presente relazione</w:t>
      </w:r>
      <w:r w:rsidR="00B52453">
        <w:rPr>
          <w:rFonts w:asciiTheme="minorHAnsi" w:hAnsiTheme="minorHAnsi"/>
          <w:lang w:eastAsia="en-GB"/>
        </w:rPr>
        <w:t xml:space="preserve"> (</w:t>
      </w:r>
      <w:r w:rsidR="00B52453" w:rsidRPr="00B52453">
        <w:rPr>
          <w:rFonts w:asciiTheme="minorHAnsi" w:hAnsiTheme="minorHAnsi"/>
          <w:i/>
          <w:iCs/>
          <w:lang w:eastAsia="en-GB"/>
        </w:rPr>
        <w:t>Tool</w:t>
      </w:r>
      <w:r w:rsidR="00B52453" w:rsidRPr="00B52453">
        <w:rPr>
          <w:rFonts w:asciiTheme="minorHAnsi" w:hAnsiTheme="minorHAnsi"/>
          <w:lang w:eastAsia="en-GB"/>
        </w:rPr>
        <w:t xml:space="preserve"> di calcolo</w:t>
      </w:r>
      <w:r w:rsidR="00B52453">
        <w:rPr>
          <w:rFonts w:asciiTheme="minorHAnsi" w:hAnsiTheme="minorHAnsi"/>
          <w:lang w:eastAsia="en-GB"/>
        </w:rPr>
        <w:t>)</w:t>
      </w:r>
      <w:r>
        <w:rPr>
          <w:rFonts w:asciiTheme="minorHAnsi" w:hAnsiTheme="minorHAnsi"/>
        </w:rPr>
        <w:t>.</w:t>
      </w:r>
    </w:p>
    <w:p w14:paraId="34C03DFE" w14:textId="4425D854" w:rsidR="00700758" w:rsidRPr="00EE02F0" w:rsidRDefault="00A33C0A" w:rsidP="00EE02F0">
      <w:pPr>
        <w:pStyle w:val="Didascalia"/>
        <w:spacing w:before="240" w:after="0" w:line="360" w:lineRule="auto"/>
        <w:ind w:left="357"/>
      </w:pPr>
      <w:r w:rsidRPr="00B24301">
        <w:t xml:space="preserve">Tabella </w:t>
      </w:r>
      <w:r w:rsidR="003E1024">
        <w:fldChar w:fldCharType="begin"/>
      </w:r>
      <w:r w:rsidR="003E1024">
        <w:instrText xml:space="preserve"> SEQ Tabella \* ARABIC </w:instrText>
      </w:r>
      <w:r w:rsidR="003E1024">
        <w:fldChar w:fldCharType="separate"/>
      </w:r>
      <w:r w:rsidR="00B52453">
        <w:rPr>
          <w:noProof/>
        </w:rPr>
        <w:t>55</w:t>
      </w:r>
      <w:r w:rsidR="003E1024">
        <w:rPr>
          <w:noProof/>
        </w:rPr>
        <w:fldChar w:fldCharType="end"/>
      </w:r>
      <w:r w:rsidR="00700758">
        <w:t xml:space="preserve"> Dettaglio delle voci di cui al comma </w:t>
      </w:r>
      <w:r w:rsidR="00700758" w:rsidRPr="00EE02F0">
        <w:t>1.4 della Determinazione 2/DRIF/2021</w:t>
      </w:r>
      <w:r w:rsidR="00700758">
        <w:t xml:space="preserve"> </w:t>
      </w:r>
    </w:p>
    <w:tbl>
      <w:tblPr>
        <w:tblStyle w:val="Tabellagriglia1chiara-colore1"/>
        <w:tblW w:w="5000" w:type="pct"/>
        <w:tblLayout w:type="fixed"/>
        <w:tblLook w:val="04A0" w:firstRow="1" w:lastRow="0" w:firstColumn="1" w:lastColumn="0" w:noHBand="0" w:noVBand="1"/>
      </w:tblPr>
      <w:tblGrid>
        <w:gridCol w:w="6941"/>
        <w:gridCol w:w="1343"/>
        <w:gridCol w:w="1344"/>
      </w:tblGrid>
      <w:tr w:rsidR="009E2126" w:rsidRPr="00A82105" w14:paraId="2FE5D266" w14:textId="77777777" w:rsidTr="009E2126">
        <w:trPr>
          <w:cnfStyle w:val="100000000000" w:firstRow="1" w:lastRow="0" w:firstColumn="0" w:lastColumn="0" w:oddVBand="0" w:evenVBand="0" w:oddHBand="0" w:evenHBand="0" w:firstRowFirstColumn="0" w:firstRowLastColumn="0" w:lastRowFirstColumn="0" w:lastRowLastColumn="0"/>
          <w:trHeight w:val="210"/>
          <w:tblHeader/>
        </w:trPr>
        <w:tc>
          <w:tcPr>
            <w:cnfStyle w:val="001000000000" w:firstRow="0" w:lastRow="0" w:firstColumn="1" w:lastColumn="0" w:oddVBand="0" w:evenVBand="0" w:oddHBand="0" w:evenHBand="0" w:firstRowFirstColumn="0" w:firstRowLastColumn="0" w:lastRowFirstColumn="0" w:lastRowLastColumn="0"/>
            <w:tcW w:w="6941" w:type="dxa"/>
            <w:noWrap/>
            <w:vAlign w:val="center"/>
          </w:tcPr>
          <w:p w14:paraId="4E1716B5" w14:textId="77777777" w:rsidR="009E2126" w:rsidRPr="00A82105" w:rsidRDefault="009E2126" w:rsidP="00427208">
            <w:pPr>
              <w:jc w:val="left"/>
              <w:rPr>
                <w:rFonts w:ascii="Tahoma" w:hAnsi="Tahoma" w:cs="Tahoma"/>
                <w:sz w:val="16"/>
                <w:szCs w:val="16"/>
              </w:rPr>
            </w:pPr>
            <w:r>
              <w:rPr>
                <w:rFonts w:ascii="Tahoma" w:hAnsi="Tahoma" w:cs="Tahoma"/>
                <w:sz w:val="16"/>
                <w:szCs w:val="16"/>
              </w:rPr>
              <w:t>TIPOLOGIA ENTRATE</w:t>
            </w:r>
          </w:p>
        </w:tc>
        <w:tc>
          <w:tcPr>
            <w:tcW w:w="1343" w:type="dxa"/>
          </w:tcPr>
          <w:p w14:paraId="0BB0BF54" w14:textId="1843DCC5" w:rsidR="009E2126" w:rsidRDefault="009E2126" w:rsidP="00427208">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Pr>
              <w:t>PEF 2024</w:t>
            </w:r>
          </w:p>
        </w:tc>
        <w:tc>
          <w:tcPr>
            <w:tcW w:w="1344" w:type="dxa"/>
            <w:noWrap/>
          </w:tcPr>
          <w:p w14:paraId="66CF0AFF" w14:textId="10B6E758" w:rsidR="009E2126" w:rsidRPr="00D5325D" w:rsidRDefault="009E2126" w:rsidP="00427208">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Pr>
              <w:t>PEF 2025</w:t>
            </w:r>
          </w:p>
        </w:tc>
      </w:tr>
      <w:tr w:rsidR="009E2126" w:rsidRPr="00A82105" w14:paraId="08A47E5D" w14:textId="77777777" w:rsidTr="009E2126">
        <w:trPr>
          <w:trHeight w:val="210"/>
        </w:trPr>
        <w:tc>
          <w:tcPr>
            <w:cnfStyle w:val="001000000000" w:firstRow="0" w:lastRow="0" w:firstColumn="1" w:lastColumn="0" w:oddVBand="0" w:evenVBand="0" w:oddHBand="0" w:evenHBand="0" w:firstRowFirstColumn="0" w:firstRowLastColumn="0" w:lastRowFirstColumn="0" w:lastRowLastColumn="0"/>
            <w:tcW w:w="6941" w:type="dxa"/>
            <w:noWrap/>
          </w:tcPr>
          <w:p w14:paraId="1EC54CE7" w14:textId="7F550C2F" w:rsidR="009E2126" w:rsidRPr="00D5325D" w:rsidRDefault="009E2126" w:rsidP="00427208">
            <w:pPr>
              <w:jc w:val="left"/>
              <w:rPr>
                <w:rFonts w:ascii="Tahoma" w:hAnsi="Tahoma" w:cs="Tahoma"/>
                <w:b w:val="0"/>
                <w:sz w:val="16"/>
                <w:szCs w:val="16"/>
              </w:rPr>
            </w:pPr>
            <w:r>
              <w:rPr>
                <w:rFonts w:ascii="Tahoma" w:hAnsi="Tahoma" w:cs="Tahoma"/>
                <w:b w:val="0"/>
                <w:sz w:val="16"/>
                <w:szCs w:val="16"/>
              </w:rPr>
              <w:t xml:space="preserve">Contributo </w:t>
            </w:r>
            <w:r w:rsidRPr="00D5325D">
              <w:rPr>
                <w:rFonts w:ascii="Tahoma" w:hAnsi="Tahoma" w:cs="Tahoma"/>
                <w:b w:val="0"/>
                <w:sz w:val="16"/>
                <w:szCs w:val="16"/>
              </w:rPr>
              <w:t>MIUR per le istituzioni scolastiche statali</w:t>
            </w:r>
            <w:r>
              <w:rPr>
                <w:rStyle w:val="Rimandonotaapidipagina"/>
                <w:rFonts w:ascii="Tahoma" w:hAnsi="Tahoma" w:cs="Tahoma"/>
                <w:b w:val="0"/>
                <w:sz w:val="16"/>
                <w:szCs w:val="16"/>
              </w:rPr>
              <w:footnoteReference w:id="1"/>
            </w:r>
            <w:r w:rsidRPr="00D5325D">
              <w:rPr>
                <w:rFonts w:ascii="Tahoma" w:hAnsi="Tahoma" w:cs="Tahoma"/>
                <w:b w:val="0"/>
                <w:sz w:val="16"/>
                <w:szCs w:val="16"/>
              </w:rPr>
              <w:t xml:space="preserve"> </w:t>
            </w:r>
            <w:r>
              <w:rPr>
                <w:rFonts w:ascii="Tahoma" w:hAnsi="Tahoma" w:cs="Tahoma"/>
                <w:b w:val="0"/>
                <w:sz w:val="16"/>
                <w:szCs w:val="16"/>
              </w:rPr>
              <w:t xml:space="preserve">– </w:t>
            </w:r>
            <w:r w:rsidR="00FF0157">
              <w:rPr>
                <w:rFonts w:ascii="Tahoma" w:hAnsi="Tahoma" w:cs="Tahoma"/>
                <w:b w:val="0"/>
                <w:sz w:val="16"/>
                <w:szCs w:val="16"/>
              </w:rPr>
              <w:t>altre entrate</w:t>
            </w:r>
          </w:p>
        </w:tc>
        <w:tc>
          <w:tcPr>
            <w:tcW w:w="1343" w:type="dxa"/>
          </w:tcPr>
          <w:p w14:paraId="5E46BD5D" w14:textId="53D44287" w:rsidR="009E2126" w:rsidRPr="00A82105" w:rsidRDefault="00B31B4C" w:rsidP="00CC5C40">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Pr>
              <w:t>521,64</w:t>
            </w:r>
          </w:p>
        </w:tc>
        <w:tc>
          <w:tcPr>
            <w:tcW w:w="1344" w:type="dxa"/>
            <w:noWrap/>
          </w:tcPr>
          <w:p w14:paraId="1223F617" w14:textId="01818BF4" w:rsidR="009E2126" w:rsidRPr="00A82105" w:rsidRDefault="00B31B4C" w:rsidP="00CC5C40">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Pr>
              <w:t>445,09</w:t>
            </w:r>
          </w:p>
        </w:tc>
      </w:tr>
      <w:tr w:rsidR="00C954FF" w:rsidRPr="00A82105" w14:paraId="678D75EC" w14:textId="77777777" w:rsidTr="009E2126">
        <w:trPr>
          <w:trHeight w:val="210"/>
        </w:trPr>
        <w:tc>
          <w:tcPr>
            <w:cnfStyle w:val="001000000000" w:firstRow="0" w:lastRow="0" w:firstColumn="1" w:lastColumn="0" w:oddVBand="0" w:evenVBand="0" w:oddHBand="0" w:evenHBand="0" w:firstRowFirstColumn="0" w:firstRowLastColumn="0" w:lastRowFirstColumn="0" w:lastRowLastColumn="0"/>
            <w:tcW w:w="6941" w:type="dxa"/>
            <w:noWrap/>
          </w:tcPr>
          <w:p w14:paraId="138B74E1" w14:textId="38F1E023" w:rsidR="00C954FF" w:rsidRDefault="00C954FF" w:rsidP="00427208">
            <w:pPr>
              <w:jc w:val="left"/>
              <w:rPr>
                <w:rFonts w:ascii="Tahoma" w:hAnsi="Tahoma" w:cs="Tahoma"/>
                <w:sz w:val="16"/>
                <w:szCs w:val="16"/>
              </w:rPr>
            </w:pPr>
            <w:r>
              <w:rPr>
                <w:rFonts w:ascii="Tahoma" w:hAnsi="Tahoma" w:cs="Tahoma"/>
                <w:b w:val="0"/>
                <w:sz w:val="16"/>
                <w:szCs w:val="16"/>
              </w:rPr>
              <w:t>E</w:t>
            </w:r>
            <w:r w:rsidRPr="00D5325D">
              <w:rPr>
                <w:rFonts w:ascii="Tahoma" w:hAnsi="Tahoma" w:cs="Tahoma"/>
                <w:b w:val="0"/>
                <w:sz w:val="16"/>
                <w:szCs w:val="16"/>
              </w:rPr>
              <w:t>ntrate effettivamente conseguite a seguito dell’attività di recupero dell’evasione</w:t>
            </w:r>
          </w:p>
        </w:tc>
        <w:tc>
          <w:tcPr>
            <w:tcW w:w="1343" w:type="dxa"/>
          </w:tcPr>
          <w:p w14:paraId="680FA11F" w14:textId="69B91EBC" w:rsidR="00C954FF" w:rsidRDefault="00B31B4C" w:rsidP="00CC5C40">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Pr>
              <w:t>1.499,02</w:t>
            </w:r>
          </w:p>
        </w:tc>
        <w:tc>
          <w:tcPr>
            <w:tcW w:w="1344" w:type="dxa"/>
            <w:noWrap/>
          </w:tcPr>
          <w:p w14:paraId="3AA503BE" w14:textId="4A3FC8DA" w:rsidR="00C954FF" w:rsidRDefault="00B31B4C" w:rsidP="00CC5C40">
            <w:pPr>
              <w:jc w:val="cente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Pr>
              <w:t>835,33</w:t>
            </w:r>
          </w:p>
        </w:tc>
      </w:tr>
    </w:tbl>
    <w:p w14:paraId="1C9C0BAA" w14:textId="77777777" w:rsidR="00700758" w:rsidRDefault="00700758" w:rsidP="00700758">
      <w:pPr>
        <w:rPr>
          <w:rFonts w:asciiTheme="minorHAnsi" w:hAnsiTheme="minorHAnsi"/>
          <w:lang w:eastAsia="en-GB"/>
        </w:rPr>
      </w:pPr>
      <w:r>
        <w:rPr>
          <w:rFonts w:asciiTheme="minorHAnsi" w:hAnsiTheme="minorHAnsi"/>
        </w:rPr>
        <w:t xml:space="preserve">Non sono presenti nel Bilancio </w:t>
      </w:r>
      <w:r w:rsidRPr="00E921ED">
        <w:rPr>
          <w:rFonts w:asciiTheme="minorHAnsi" w:hAnsiTheme="minorHAnsi"/>
        </w:rPr>
        <w:t>dell’</w:t>
      </w:r>
      <w:r>
        <w:rPr>
          <w:rFonts w:asciiTheme="minorHAnsi" w:hAnsiTheme="minorHAnsi"/>
        </w:rPr>
        <w:t>E</w:t>
      </w:r>
      <w:r w:rsidRPr="00E921ED">
        <w:rPr>
          <w:rFonts w:asciiTheme="minorHAnsi" w:hAnsiTheme="minorHAnsi"/>
        </w:rPr>
        <w:t>nte/</w:t>
      </w:r>
      <w:r>
        <w:rPr>
          <w:rFonts w:asciiTheme="minorHAnsi" w:hAnsiTheme="minorHAnsi"/>
        </w:rPr>
        <w:t>C</w:t>
      </w:r>
      <w:r w:rsidRPr="00E921ED">
        <w:rPr>
          <w:rFonts w:asciiTheme="minorHAnsi" w:hAnsiTheme="minorHAnsi"/>
        </w:rPr>
        <w:t xml:space="preserve">omune </w:t>
      </w:r>
      <w:r>
        <w:rPr>
          <w:rFonts w:asciiTheme="minorHAnsi" w:hAnsiTheme="minorHAnsi"/>
        </w:rPr>
        <w:t xml:space="preserve">entrate da </w:t>
      </w:r>
      <w:r w:rsidRPr="00E921ED">
        <w:rPr>
          <w:rFonts w:asciiTheme="minorHAnsi" w:hAnsiTheme="minorHAnsi"/>
        </w:rPr>
        <w:t>sottra</w:t>
      </w:r>
      <w:r>
        <w:rPr>
          <w:rFonts w:asciiTheme="minorHAnsi" w:hAnsiTheme="minorHAnsi"/>
        </w:rPr>
        <w:t>rre, in sede di articolazione tariffaria,</w:t>
      </w:r>
      <w:r w:rsidRPr="00E921ED">
        <w:rPr>
          <w:rFonts w:asciiTheme="minorHAnsi" w:hAnsiTheme="minorHAnsi"/>
        </w:rPr>
        <w:t xml:space="preserve"> dal totale dei costi del PEF di cui al comma 1</w:t>
      </w:r>
      <w:r w:rsidRPr="00E921ED">
        <w:rPr>
          <w:rFonts w:asciiTheme="minorHAnsi" w:hAnsiTheme="minorHAnsi"/>
          <w:lang w:eastAsia="en-GB"/>
        </w:rPr>
        <w:t xml:space="preserve">.4 della </w:t>
      </w:r>
      <w:r>
        <w:rPr>
          <w:rFonts w:asciiTheme="minorHAnsi" w:hAnsiTheme="minorHAnsi"/>
          <w:lang w:eastAsia="en-GB"/>
        </w:rPr>
        <w:t>D</w:t>
      </w:r>
      <w:r w:rsidRPr="00E921ED">
        <w:rPr>
          <w:rFonts w:asciiTheme="minorHAnsi" w:hAnsiTheme="minorHAnsi"/>
          <w:lang w:eastAsia="en-GB"/>
        </w:rPr>
        <w:t>eterminazione 2/DRIF/202</w:t>
      </w:r>
      <w:r>
        <w:rPr>
          <w:rFonts w:asciiTheme="minorHAnsi" w:hAnsiTheme="minorHAnsi"/>
          <w:lang w:eastAsia="en-GB"/>
        </w:rPr>
        <w:t>1.</w:t>
      </w:r>
    </w:p>
    <w:p w14:paraId="60EE1C03" w14:textId="77777777" w:rsidR="00B52453" w:rsidRDefault="00B52453">
      <w:pPr>
        <w:jc w:val="left"/>
        <w:rPr>
          <w:rFonts w:asciiTheme="minorHAnsi" w:hAnsiTheme="minorHAnsi"/>
          <w:lang w:eastAsia="en-GB"/>
        </w:rPr>
      </w:pPr>
    </w:p>
    <w:p w14:paraId="29B58585" w14:textId="09B23181" w:rsidR="00B52453" w:rsidRPr="00871EBB" w:rsidRDefault="009A67CE" w:rsidP="00B52453">
      <w:pPr>
        <w:pStyle w:val="Titolo2"/>
      </w:pPr>
      <w:bookmarkStart w:id="63" w:name="_Toc149660969"/>
      <w:bookmarkStart w:id="64" w:name="_Toc163127434"/>
      <w:r w:rsidRPr="00871EBB">
        <w:t>Monitoraggio del grado di copertura dei costi efficienti della raccolta differenziata</w:t>
      </w:r>
      <w:bookmarkEnd w:id="63"/>
      <w:bookmarkEnd w:id="64"/>
    </w:p>
    <w:p w14:paraId="028233C5" w14:textId="2546E311" w:rsidR="009A67CE" w:rsidRDefault="009A67CE" w:rsidP="009A67CE">
      <w:pPr>
        <w:rPr>
          <w:iCs/>
        </w:rPr>
      </w:pPr>
      <w:r>
        <w:t xml:space="preserve">L’Ente illustra le modalità di quantificazione del </w:t>
      </w:r>
      <w:r w:rsidRPr="00D10EC2">
        <w:t xml:space="preserve">valore di partenza </w:t>
      </w:r>
      <m:oMath>
        <m:sSub>
          <m:sSubPr>
            <m:ctrlPr>
              <w:rPr>
                <w:rFonts w:ascii="Cambria Math" w:hAnsi="Cambria Math"/>
                <w:i/>
                <w:iCs/>
              </w:rPr>
            </m:ctrlPr>
          </m:sSubPr>
          <m:e>
            <m:r>
              <w:rPr>
                <w:rFonts w:ascii="Cambria Math" w:hAnsi="Cambria Math"/>
              </w:rPr>
              <m:t>Η</m:t>
            </m:r>
          </m:e>
          <m:sub>
            <m:r>
              <w:rPr>
                <w:rFonts w:ascii="Cambria Math" w:hAnsi="Cambria Math"/>
              </w:rPr>
              <m:t>2024</m:t>
            </m:r>
          </m:sub>
        </m:sSub>
      </m:oMath>
      <w:r>
        <w:rPr>
          <w:iCs/>
        </w:rPr>
        <w:t xml:space="preserve"> e la conseguente assegnazione degli obiettivi di</w:t>
      </w:r>
      <w:r w:rsidR="00CC5C40">
        <w:rPr>
          <w:iCs/>
        </w:rPr>
        <w:t xml:space="preserve"> </w:t>
      </w:r>
      <w:r>
        <w:rPr>
          <w:iCs/>
        </w:rPr>
        <w:t xml:space="preserve">mantenimento secondo la collocazione in una delle classi (da A ad I) di cui alla tabella riportata al comma 8.2 della </w:t>
      </w:r>
      <w:r w:rsidRPr="009A67CE">
        <w:rPr>
          <w:iCs/>
        </w:rPr>
        <w:t xml:space="preserve">deliberazione </w:t>
      </w:r>
      <w:r>
        <w:rPr>
          <w:iCs/>
        </w:rPr>
        <w:t xml:space="preserve">del </w:t>
      </w:r>
      <w:r w:rsidRPr="009A67CE">
        <w:rPr>
          <w:iCs/>
        </w:rPr>
        <w:t xml:space="preserve">3 </w:t>
      </w:r>
      <w:r>
        <w:rPr>
          <w:iCs/>
        </w:rPr>
        <w:t>agosto</w:t>
      </w:r>
      <w:r w:rsidRPr="009A67CE">
        <w:rPr>
          <w:iCs/>
        </w:rPr>
        <w:t xml:space="preserve"> 2023</w:t>
      </w:r>
      <w:r>
        <w:rPr>
          <w:iCs/>
        </w:rPr>
        <w:t xml:space="preserve"> </w:t>
      </w:r>
      <w:r w:rsidRPr="009A67CE">
        <w:rPr>
          <w:iCs/>
        </w:rPr>
        <w:t>389/2023/R/RIF</w:t>
      </w:r>
      <w:r>
        <w:rPr>
          <w:iCs/>
        </w:rPr>
        <w:t xml:space="preserve"> – “A</w:t>
      </w:r>
      <w:r w:rsidRPr="009A67CE">
        <w:rPr>
          <w:iCs/>
        </w:rPr>
        <w:t xml:space="preserve">ggiornamento biennale (2024-2025) del </w:t>
      </w:r>
      <w:r>
        <w:rPr>
          <w:iCs/>
        </w:rPr>
        <w:t>M</w:t>
      </w:r>
      <w:r w:rsidRPr="009A67CE">
        <w:rPr>
          <w:iCs/>
        </w:rPr>
        <w:t xml:space="preserve">etodo </w:t>
      </w:r>
      <w:r>
        <w:rPr>
          <w:iCs/>
        </w:rPr>
        <w:t>T</w:t>
      </w:r>
      <w:r w:rsidRPr="009A67CE">
        <w:rPr>
          <w:iCs/>
        </w:rPr>
        <w:t xml:space="preserve">ariffario </w:t>
      </w:r>
      <w:r>
        <w:rPr>
          <w:iCs/>
        </w:rPr>
        <w:t>R</w:t>
      </w:r>
      <w:r w:rsidRPr="009A67CE">
        <w:rPr>
          <w:iCs/>
        </w:rPr>
        <w:t>ifiuti (</w:t>
      </w:r>
      <w:r>
        <w:rPr>
          <w:iCs/>
        </w:rPr>
        <w:t>MTR</w:t>
      </w:r>
      <w:r w:rsidRPr="009A67CE">
        <w:rPr>
          <w:iCs/>
        </w:rPr>
        <w:t>-2)</w:t>
      </w:r>
      <w:r>
        <w:rPr>
          <w:iCs/>
        </w:rPr>
        <w:t>”.</w:t>
      </w:r>
    </w:p>
    <w:p w14:paraId="7FC9E29D" w14:textId="01B942D9" w:rsidR="009A67CE" w:rsidRDefault="009A67CE" w:rsidP="009A67CE">
      <w:pPr>
        <w:jc w:val="center"/>
        <w:rPr>
          <w:iCs/>
        </w:rPr>
      </w:pPr>
      <w:r w:rsidRPr="009A67CE">
        <w:rPr>
          <w:iCs/>
          <w:noProof/>
        </w:rPr>
        <w:drawing>
          <wp:inline distT="0" distB="0" distL="0" distR="0" wp14:anchorId="3B4627E5" wp14:editId="289BC1BC">
            <wp:extent cx="2600563" cy="1434384"/>
            <wp:effectExtent l="0" t="0" r="0" b="0"/>
            <wp:docPr id="205619742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197422" name=""/>
                    <pic:cNvPicPr/>
                  </pic:nvPicPr>
                  <pic:blipFill>
                    <a:blip r:embed="rId9"/>
                    <a:stretch>
                      <a:fillRect/>
                    </a:stretch>
                  </pic:blipFill>
                  <pic:spPr>
                    <a:xfrm>
                      <a:off x="0" y="0"/>
                      <a:ext cx="2614434" cy="1442035"/>
                    </a:xfrm>
                    <a:prstGeom prst="rect">
                      <a:avLst/>
                    </a:prstGeom>
                  </pic:spPr>
                </pic:pic>
              </a:graphicData>
            </a:graphic>
          </wp:inline>
        </w:drawing>
      </w:r>
    </w:p>
    <w:p w14:paraId="677BBAA6" w14:textId="438DE734" w:rsidR="00BC46A8" w:rsidRDefault="009A67CE" w:rsidP="009A67CE">
      <w:pPr>
        <w:rPr>
          <w:iCs/>
        </w:rPr>
      </w:pPr>
      <w:r>
        <w:rPr>
          <w:iCs/>
        </w:rPr>
        <w:t xml:space="preserve">In particolare, </w:t>
      </w:r>
      <w:r w:rsidR="00BC46A8">
        <w:rPr>
          <w:iCs/>
        </w:rPr>
        <w:t xml:space="preserve">per il calcolo del </w:t>
      </w:r>
      <w:r w:rsidR="00BC46A8" w:rsidRPr="00D10EC2">
        <w:t xml:space="preserve">valore di partenza </w:t>
      </w:r>
      <m:oMath>
        <m:sSub>
          <m:sSubPr>
            <m:ctrlPr>
              <w:rPr>
                <w:rFonts w:ascii="Cambria Math" w:hAnsi="Cambria Math"/>
                <w:i/>
                <w:iCs/>
              </w:rPr>
            </m:ctrlPr>
          </m:sSubPr>
          <m:e>
            <m:r>
              <w:rPr>
                <w:rFonts w:ascii="Cambria Math" w:hAnsi="Cambria Math"/>
              </w:rPr>
              <m:t>Η</m:t>
            </m:r>
          </m:e>
          <m:sub>
            <m:r>
              <w:rPr>
                <w:rFonts w:ascii="Cambria Math" w:hAnsi="Cambria Math"/>
              </w:rPr>
              <m:t>2024</m:t>
            </m:r>
          </m:sub>
        </m:sSub>
      </m:oMath>
      <w:r w:rsidR="00BC46A8">
        <w:rPr>
          <w:iCs/>
        </w:rPr>
        <w:t xml:space="preserve"> sono stati utilizzati i dati richiesti disponibili in relazione all’annualità 2022. Nel dettaglio sono state effettuate le opportune </w:t>
      </w:r>
      <w:r>
        <w:rPr>
          <w:iCs/>
        </w:rPr>
        <w:t xml:space="preserve">stime </w:t>
      </w:r>
      <w:r w:rsidR="00BC46A8">
        <w:rPr>
          <w:iCs/>
        </w:rPr>
        <w:t>utili al</w:t>
      </w:r>
      <w:r>
        <w:rPr>
          <w:iCs/>
        </w:rPr>
        <w:t>la valorizzazione delle grandezze richieste per il calcolo</w:t>
      </w:r>
      <w:r w:rsidR="00BC46A8">
        <w:rPr>
          <w:iCs/>
        </w:rPr>
        <w:t xml:space="preserve"> così come rappresentate nel </w:t>
      </w:r>
      <w:r w:rsidR="00BC46A8" w:rsidRPr="00BC46A8">
        <w:rPr>
          <w:i/>
        </w:rPr>
        <w:t>Tool</w:t>
      </w:r>
      <w:r w:rsidR="00BC46A8">
        <w:rPr>
          <w:iCs/>
        </w:rPr>
        <w:t xml:space="preserve"> di calcolo.</w:t>
      </w:r>
    </w:p>
    <w:p w14:paraId="6401C585" w14:textId="69788677" w:rsidR="00C73555" w:rsidRDefault="001326D5" w:rsidP="00BC46A8">
      <w:pPr>
        <w:rPr>
          <w:iCs/>
        </w:rPr>
      </w:pPr>
      <w:r>
        <w:lastRenderedPageBreak/>
        <w:t xml:space="preserve">Di conseguenza il </w:t>
      </w:r>
      <w:r w:rsidRPr="00D10EC2">
        <w:t xml:space="preserve">valore di partenza </w:t>
      </w:r>
      <m:oMath>
        <m:sSub>
          <m:sSubPr>
            <m:ctrlPr>
              <w:rPr>
                <w:rFonts w:ascii="Cambria Math" w:hAnsi="Cambria Math"/>
                <w:i/>
                <w:iCs/>
              </w:rPr>
            </m:ctrlPr>
          </m:sSubPr>
          <m:e>
            <m:r>
              <w:rPr>
                <w:rFonts w:ascii="Cambria Math" w:hAnsi="Cambria Math"/>
              </w:rPr>
              <m:t>Η</m:t>
            </m:r>
          </m:e>
          <m:sub>
            <m:r>
              <w:rPr>
                <w:rFonts w:ascii="Cambria Math" w:hAnsi="Cambria Math"/>
              </w:rPr>
              <m:t>2024</m:t>
            </m:r>
          </m:sub>
        </m:sSub>
      </m:oMath>
      <w:r>
        <w:rPr>
          <w:iCs/>
        </w:rPr>
        <w:t xml:space="preserve"> e </w:t>
      </w:r>
      <w:r w:rsidR="006B22F9">
        <w:rPr>
          <w:iCs/>
        </w:rPr>
        <w:t>l’</w:t>
      </w:r>
      <w:r>
        <w:rPr>
          <w:iCs/>
        </w:rPr>
        <w:t xml:space="preserve">assegnazione degli obiettivi di mantenimento secondo la collocazione in una delle classi (da A ad I) sono rappresentati nel </w:t>
      </w:r>
      <w:r w:rsidRPr="006B22F9">
        <w:rPr>
          <w:i/>
        </w:rPr>
        <w:t>Tool</w:t>
      </w:r>
      <w:r>
        <w:rPr>
          <w:iCs/>
        </w:rPr>
        <w:t xml:space="preserve"> di calcolo allegato alla presente relazione.</w:t>
      </w:r>
    </w:p>
    <w:p w14:paraId="5EAADE2D" w14:textId="5861B44F" w:rsidR="00A94DE4" w:rsidRDefault="00A94DE4" w:rsidP="00BC46A8">
      <w:pPr>
        <w:rPr>
          <w:iCs/>
        </w:rPr>
      </w:pPr>
      <w:r>
        <w:rPr>
          <w:noProof/>
        </w:rPr>
        <w:drawing>
          <wp:inline distT="0" distB="0" distL="0" distR="0" wp14:anchorId="374F2639" wp14:editId="0ABB1302">
            <wp:extent cx="6120130" cy="916940"/>
            <wp:effectExtent l="0" t="0" r="0" b="0"/>
            <wp:docPr id="1334862212" name="Immagine 1" descr="Immagine che contiene testo, linea, softwar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862212" name="Immagine 1" descr="Immagine che contiene testo, linea, software, schermata&#10;&#10;Descrizione generata automaticamente"/>
                    <pic:cNvPicPr/>
                  </pic:nvPicPr>
                  <pic:blipFill>
                    <a:blip r:embed="rId10"/>
                    <a:stretch>
                      <a:fillRect/>
                    </a:stretch>
                  </pic:blipFill>
                  <pic:spPr>
                    <a:xfrm>
                      <a:off x="0" y="0"/>
                      <a:ext cx="6120130" cy="916940"/>
                    </a:xfrm>
                    <a:prstGeom prst="rect">
                      <a:avLst/>
                    </a:prstGeom>
                  </pic:spPr>
                </pic:pic>
              </a:graphicData>
            </a:graphic>
          </wp:inline>
        </w:drawing>
      </w:r>
    </w:p>
    <w:p w14:paraId="78826A11" w14:textId="77777777" w:rsidR="00A94DE4" w:rsidRDefault="00A94DE4" w:rsidP="00BC46A8">
      <w:pPr>
        <w:rPr>
          <w:iCs/>
        </w:rPr>
      </w:pPr>
    </w:p>
    <w:p w14:paraId="4886E98C" w14:textId="77777777" w:rsidR="00F37F1B" w:rsidRDefault="00661786" w:rsidP="00661786">
      <w:pPr>
        <w:pStyle w:val="Titolo1"/>
        <w:rPr>
          <w:lang w:eastAsia="en-GB"/>
        </w:rPr>
      </w:pPr>
      <w:bookmarkStart w:id="65" w:name="_Toc163127435"/>
      <w:r>
        <w:rPr>
          <w:lang w:eastAsia="en-GB"/>
        </w:rPr>
        <w:t>A</w:t>
      </w:r>
      <w:r w:rsidR="00F37F1B">
        <w:rPr>
          <w:lang w:eastAsia="en-GB"/>
        </w:rPr>
        <w:t>nnotazioni</w:t>
      </w:r>
    </w:p>
    <w:bookmarkEnd w:id="65"/>
    <w:p w14:paraId="285E0164" w14:textId="77777777" w:rsidR="00F37F1B" w:rsidRPr="00970568" w:rsidRDefault="00F37F1B" w:rsidP="00F37F1B">
      <w:pPr>
        <w:spacing w:line="276" w:lineRule="auto"/>
        <w:rPr>
          <w:rFonts w:cs="Arial"/>
          <w:color w:val="000000"/>
          <w:szCs w:val="20"/>
          <w:lang w:eastAsia="en-US"/>
        </w:rPr>
      </w:pPr>
      <w:r w:rsidRPr="00970568">
        <w:rPr>
          <w:rFonts w:cs="Arial"/>
          <w:color w:val="000000"/>
          <w:szCs w:val="20"/>
          <w:lang w:eastAsia="en-US"/>
        </w:rPr>
        <w:t>Si precisa che nel presente PEF pluriennale non sono stati inseriti costi per attività esterne al ciclo integrato dei RU di cui al comma 6.4 del MTR-2 aggiornato.</w:t>
      </w:r>
    </w:p>
    <w:p w14:paraId="39682AC7" w14:textId="77777777" w:rsidR="00F37F1B" w:rsidRPr="00891D5F" w:rsidRDefault="00F37F1B" w:rsidP="00F37F1B">
      <w:pPr>
        <w:autoSpaceDE w:val="0"/>
        <w:autoSpaceDN w:val="0"/>
        <w:adjustRightInd w:val="0"/>
        <w:rPr>
          <w:rFonts w:cs="Arial"/>
          <w:szCs w:val="20"/>
        </w:rPr>
      </w:pPr>
      <w:r w:rsidRPr="00891D5F">
        <w:rPr>
          <w:rFonts w:cs="Arial"/>
          <w:szCs w:val="20"/>
        </w:rPr>
        <w:t>Di seguito riepilogo importo PEF 2024 e importo calcolo TARIFFE 2024:</w:t>
      </w:r>
    </w:p>
    <w:p w14:paraId="6C3DD8C6" w14:textId="77777777" w:rsidR="00F37F1B" w:rsidRPr="00891D5F" w:rsidRDefault="00F37F1B" w:rsidP="00F37F1B">
      <w:pPr>
        <w:autoSpaceDE w:val="0"/>
        <w:autoSpaceDN w:val="0"/>
        <w:adjustRightInd w:val="0"/>
        <w:rPr>
          <w:rFonts w:cs="Arial"/>
          <w:szCs w:val="20"/>
        </w:rPr>
      </w:pPr>
    </w:p>
    <w:p w14:paraId="1BB224E2" w14:textId="77777777" w:rsidR="00F37F1B" w:rsidRPr="00891D5F" w:rsidRDefault="00F37F1B" w:rsidP="00F37F1B">
      <w:pPr>
        <w:autoSpaceDE w:val="0"/>
        <w:autoSpaceDN w:val="0"/>
        <w:adjustRightInd w:val="0"/>
        <w:rPr>
          <w:rFonts w:cs="Arial"/>
          <w:szCs w:val="20"/>
        </w:rPr>
      </w:pPr>
      <w:r w:rsidRPr="00891D5F">
        <w:rPr>
          <w:rFonts w:cs="Arial"/>
          <w:szCs w:val="20"/>
        </w:rPr>
        <w:t>Totale importo MTR-2 di ARERA 2024 calcolato è pari a:</w:t>
      </w:r>
    </w:p>
    <w:p w14:paraId="1C3DBCCF" w14:textId="77777777" w:rsidR="00F37F1B" w:rsidRPr="00514AB6" w:rsidRDefault="00F37F1B" w:rsidP="00F37F1B">
      <w:pPr>
        <w:autoSpaceDE w:val="0"/>
        <w:autoSpaceDN w:val="0"/>
        <w:adjustRightInd w:val="0"/>
        <w:rPr>
          <w:rFonts w:cs="Arial"/>
          <w:szCs w:val="22"/>
        </w:rPr>
      </w:pPr>
    </w:p>
    <w:p w14:paraId="0781085A" w14:textId="0923EB1B" w:rsidR="00F37F1B" w:rsidRPr="001642E2" w:rsidRDefault="00F37F1B" w:rsidP="00F37F1B">
      <w:pPr>
        <w:autoSpaceDE w:val="0"/>
        <w:autoSpaceDN w:val="0"/>
        <w:adjustRightInd w:val="0"/>
        <w:ind w:firstLine="709"/>
        <w:rPr>
          <w:rFonts w:cs="Arial"/>
          <w:b/>
          <w:sz w:val="28"/>
          <w:szCs w:val="28"/>
        </w:rPr>
      </w:pPr>
      <w:r w:rsidRPr="001642E2">
        <w:rPr>
          <w:rFonts w:cs="Arial"/>
          <w:b/>
          <w:sz w:val="28"/>
          <w:szCs w:val="28"/>
        </w:rPr>
        <w:fldChar w:fldCharType="begin"/>
      </w:r>
      <w:r w:rsidRPr="001642E2">
        <w:rPr>
          <w:rFonts w:cs="Arial"/>
          <w:b/>
          <w:sz w:val="28"/>
          <w:szCs w:val="28"/>
        </w:rPr>
        <w:instrText xml:space="preserve"> QUOTE </w:instrText>
      </w:r>
      <w:r w:rsidRPr="0077793F">
        <w:rPr>
          <w:rFonts w:cs="Arial"/>
          <w:b/>
          <w:noProof/>
          <w:position w:val="-6"/>
          <w:sz w:val="28"/>
          <w:szCs w:val="28"/>
        </w:rPr>
        <w:drawing>
          <wp:inline distT="0" distB="0" distL="0" distR="0" wp14:anchorId="5A1E67EC" wp14:editId="5B85B5E7">
            <wp:extent cx="234315" cy="15367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4315" cy="153670"/>
                    </a:xfrm>
                    <a:prstGeom prst="rect">
                      <a:avLst/>
                    </a:prstGeom>
                    <a:noFill/>
                    <a:ln>
                      <a:noFill/>
                    </a:ln>
                  </pic:spPr>
                </pic:pic>
              </a:graphicData>
            </a:graphic>
          </wp:inline>
        </w:drawing>
      </w:r>
      <w:r w:rsidRPr="001642E2">
        <w:rPr>
          <w:rFonts w:cs="Arial"/>
          <w:b/>
          <w:sz w:val="28"/>
          <w:szCs w:val="28"/>
        </w:rPr>
        <w:instrText xml:space="preserve"> </w:instrText>
      </w:r>
      <w:r w:rsidRPr="001642E2">
        <w:rPr>
          <w:rFonts w:cs="Arial"/>
          <w:b/>
          <w:sz w:val="28"/>
          <w:szCs w:val="28"/>
        </w:rPr>
        <w:fldChar w:fldCharType="separate"/>
      </w:r>
      <w:r w:rsidRPr="0077793F">
        <w:rPr>
          <w:rFonts w:cs="Arial"/>
          <w:b/>
          <w:noProof/>
          <w:position w:val="-6"/>
          <w:sz w:val="28"/>
          <w:szCs w:val="28"/>
        </w:rPr>
        <w:drawing>
          <wp:inline distT="0" distB="0" distL="0" distR="0" wp14:anchorId="33A051B6" wp14:editId="286B7116">
            <wp:extent cx="234315" cy="153670"/>
            <wp:effectExtent l="0" t="0" r="0" b="0"/>
            <wp:docPr id="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4315" cy="153670"/>
                    </a:xfrm>
                    <a:prstGeom prst="rect">
                      <a:avLst/>
                    </a:prstGeom>
                    <a:noFill/>
                    <a:ln>
                      <a:noFill/>
                    </a:ln>
                  </pic:spPr>
                </pic:pic>
              </a:graphicData>
            </a:graphic>
          </wp:inline>
        </w:drawing>
      </w:r>
      <w:r w:rsidRPr="001642E2">
        <w:rPr>
          <w:rFonts w:cs="Arial"/>
          <w:b/>
          <w:sz w:val="28"/>
          <w:szCs w:val="28"/>
        </w:rPr>
        <w:fldChar w:fldCharType="end"/>
      </w:r>
      <w:r w:rsidRPr="001642E2">
        <w:rPr>
          <w:rFonts w:cs="Arial"/>
          <w:b/>
          <w:sz w:val="28"/>
          <w:szCs w:val="28"/>
        </w:rPr>
        <w:t>=</w:t>
      </w:r>
      <w:r>
        <w:rPr>
          <w:rFonts w:cs="Arial"/>
          <w:b/>
          <w:sz w:val="28"/>
          <w:szCs w:val="28"/>
        </w:rPr>
        <w:t xml:space="preserve"> </w:t>
      </w:r>
      <w:r w:rsidR="006D1C38">
        <w:rPr>
          <w:rFonts w:cs="Arial"/>
          <w:b/>
          <w:bCs/>
          <w:sz w:val="32"/>
          <w:szCs w:val="32"/>
        </w:rPr>
        <w:t>248.314</w:t>
      </w:r>
      <w:r w:rsidRPr="001642E2">
        <w:rPr>
          <w:rFonts w:cs="Arial"/>
          <w:b/>
          <w:bCs/>
          <w:sz w:val="32"/>
          <w:szCs w:val="32"/>
        </w:rPr>
        <w:t>,00</w:t>
      </w:r>
      <w:r w:rsidRPr="001642E2">
        <w:rPr>
          <w:b/>
          <w:color w:val="000000"/>
        </w:rPr>
        <w:t xml:space="preserve"> </w:t>
      </w:r>
      <w:r w:rsidRPr="001642E2">
        <w:rPr>
          <w:rFonts w:cs="Arial"/>
          <w:b/>
          <w:bCs/>
          <w:sz w:val="32"/>
          <w:szCs w:val="32"/>
        </w:rPr>
        <w:t>€</w:t>
      </w:r>
      <w:r w:rsidRPr="001642E2">
        <w:rPr>
          <w:rFonts w:cs="Arial"/>
          <w:b/>
          <w:sz w:val="28"/>
          <w:szCs w:val="28"/>
        </w:rPr>
        <w:t xml:space="preserve"> </w:t>
      </w:r>
    </w:p>
    <w:p w14:paraId="7C2A0C2E" w14:textId="77777777" w:rsidR="00F37F1B" w:rsidRPr="001642E2" w:rsidRDefault="00F37F1B" w:rsidP="00F37F1B">
      <w:pPr>
        <w:autoSpaceDE w:val="0"/>
        <w:autoSpaceDN w:val="0"/>
        <w:adjustRightInd w:val="0"/>
        <w:ind w:firstLine="709"/>
        <w:rPr>
          <w:rFonts w:cs="Arial"/>
          <w:b/>
          <w:sz w:val="28"/>
          <w:szCs w:val="28"/>
        </w:rPr>
      </w:pPr>
    </w:p>
    <w:p w14:paraId="74223658" w14:textId="77777777" w:rsidR="00F37F1B" w:rsidRPr="00891D5F" w:rsidRDefault="00F37F1B" w:rsidP="00F37F1B">
      <w:pPr>
        <w:autoSpaceDE w:val="0"/>
        <w:autoSpaceDN w:val="0"/>
        <w:adjustRightInd w:val="0"/>
        <w:rPr>
          <w:rFonts w:cs="Arial"/>
          <w:szCs w:val="20"/>
        </w:rPr>
      </w:pPr>
      <w:r w:rsidRPr="00891D5F">
        <w:rPr>
          <w:rFonts w:cs="Arial"/>
          <w:szCs w:val="20"/>
        </w:rPr>
        <w:t>Totale importo per il calcolo delle TARIFFE 2024 è pari a:</w:t>
      </w:r>
    </w:p>
    <w:p w14:paraId="5F8BD510" w14:textId="77777777" w:rsidR="00F37F1B" w:rsidRPr="001642E2" w:rsidRDefault="00F37F1B" w:rsidP="00F37F1B">
      <w:pPr>
        <w:autoSpaceDE w:val="0"/>
        <w:autoSpaceDN w:val="0"/>
        <w:adjustRightInd w:val="0"/>
        <w:rPr>
          <w:rFonts w:cs="Arial"/>
          <w:szCs w:val="22"/>
        </w:rPr>
      </w:pPr>
    </w:p>
    <w:p w14:paraId="1279B3D6" w14:textId="7EBF454B" w:rsidR="00F37F1B" w:rsidRPr="001642E2" w:rsidRDefault="00F37F1B" w:rsidP="00F37F1B">
      <w:pPr>
        <w:autoSpaceDE w:val="0"/>
        <w:autoSpaceDN w:val="0"/>
        <w:adjustRightInd w:val="0"/>
        <w:ind w:firstLine="709"/>
        <w:rPr>
          <w:rFonts w:cs="Arial"/>
          <w:b/>
          <w:sz w:val="18"/>
          <w:szCs w:val="18"/>
        </w:rPr>
      </w:pPr>
      <w:r w:rsidRPr="001642E2">
        <w:rPr>
          <w:rFonts w:cs="Arial"/>
          <w:b/>
          <w:sz w:val="28"/>
          <w:szCs w:val="28"/>
        </w:rPr>
        <w:fldChar w:fldCharType="begin"/>
      </w:r>
      <w:r w:rsidRPr="001642E2">
        <w:rPr>
          <w:rFonts w:cs="Arial"/>
          <w:b/>
          <w:sz w:val="28"/>
          <w:szCs w:val="28"/>
        </w:rPr>
        <w:instrText xml:space="preserve"> QUOTE </w:instrText>
      </w:r>
      <w:r w:rsidRPr="0077793F">
        <w:rPr>
          <w:rFonts w:cs="Arial"/>
          <w:b/>
          <w:noProof/>
          <w:position w:val="-6"/>
          <w:sz w:val="28"/>
          <w:szCs w:val="28"/>
        </w:rPr>
        <w:drawing>
          <wp:inline distT="0" distB="0" distL="0" distR="0" wp14:anchorId="3CDE14C9" wp14:editId="2ED03AE9">
            <wp:extent cx="234315" cy="153670"/>
            <wp:effectExtent l="0" t="0" r="0" b="0"/>
            <wp:docPr id="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4315" cy="153670"/>
                    </a:xfrm>
                    <a:prstGeom prst="rect">
                      <a:avLst/>
                    </a:prstGeom>
                    <a:noFill/>
                    <a:ln>
                      <a:noFill/>
                    </a:ln>
                  </pic:spPr>
                </pic:pic>
              </a:graphicData>
            </a:graphic>
          </wp:inline>
        </w:drawing>
      </w:r>
      <w:r w:rsidRPr="001642E2">
        <w:rPr>
          <w:rFonts w:cs="Arial"/>
          <w:b/>
          <w:sz w:val="28"/>
          <w:szCs w:val="28"/>
        </w:rPr>
        <w:instrText xml:space="preserve"> </w:instrText>
      </w:r>
      <w:r w:rsidRPr="001642E2">
        <w:rPr>
          <w:rFonts w:cs="Arial"/>
          <w:b/>
          <w:sz w:val="28"/>
          <w:szCs w:val="28"/>
        </w:rPr>
        <w:fldChar w:fldCharType="separate"/>
      </w:r>
      <w:r w:rsidRPr="0077793F">
        <w:rPr>
          <w:rFonts w:cs="Arial"/>
          <w:b/>
          <w:noProof/>
          <w:position w:val="-6"/>
          <w:sz w:val="28"/>
          <w:szCs w:val="28"/>
        </w:rPr>
        <w:drawing>
          <wp:inline distT="0" distB="0" distL="0" distR="0" wp14:anchorId="0570D8F6" wp14:editId="55400073">
            <wp:extent cx="234315" cy="153670"/>
            <wp:effectExtent l="0" t="0" r="0" b="0"/>
            <wp:docPr id="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4315" cy="153670"/>
                    </a:xfrm>
                    <a:prstGeom prst="rect">
                      <a:avLst/>
                    </a:prstGeom>
                    <a:noFill/>
                    <a:ln>
                      <a:noFill/>
                    </a:ln>
                  </pic:spPr>
                </pic:pic>
              </a:graphicData>
            </a:graphic>
          </wp:inline>
        </w:drawing>
      </w:r>
      <w:r w:rsidRPr="001642E2">
        <w:rPr>
          <w:rFonts w:cs="Arial"/>
          <w:b/>
          <w:sz w:val="28"/>
          <w:szCs w:val="28"/>
        </w:rPr>
        <w:fldChar w:fldCharType="end"/>
      </w:r>
      <w:r w:rsidRPr="001642E2">
        <w:rPr>
          <w:rFonts w:cs="Arial"/>
          <w:b/>
          <w:sz w:val="28"/>
          <w:szCs w:val="28"/>
        </w:rPr>
        <w:t>=</w:t>
      </w:r>
      <w:r>
        <w:rPr>
          <w:rFonts w:cs="Arial"/>
          <w:b/>
          <w:sz w:val="28"/>
          <w:szCs w:val="28"/>
        </w:rPr>
        <w:t xml:space="preserve"> </w:t>
      </w:r>
      <w:r w:rsidR="006D1C38">
        <w:rPr>
          <w:rFonts w:cs="Arial"/>
          <w:b/>
          <w:bCs/>
          <w:sz w:val="32"/>
          <w:szCs w:val="32"/>
        </w:rPr>
        <w:t>246.293</w:t>
      </w:r>
      <w:r w:rsidRPr="001642E2">
        <w:rPr>
          <w:rFonts w:cs="Arial"/>
          <w:b/>
          <w:bCs/>
          <w:sz w:val="32"/>
          <w:szCs w:val="32"/>
        </w:rPr>
        <w:t>,00 €</w:t>
      </w:r>
      <w:r w:rsidR="00CD3F50">
        <w:rPr>
          <w:rFonts w:cs="Arial"/>
          <w:b/>
          <w:bCs/>
          <w:sz w:val="32"/>
          <w:szCs w:val="32"/>
        </w:rPr>
        <w:t xml:space="preserve"> (meno MIUR</w:t>
      </w:r>
      <w:r w:rsidR="007C0678">
        <w:rPr>
          <w:rFonts w:cs="Arial"/>
          <w:b/>
          <w:bCs/>
          <w:sz w:val="32"/>
          <w:szCs w:val="32"/>
        </w:rPr>
        <w:t xml:space="preserve"> e </w:t>
      </w:r>
      <w:r w:rsidR="003A1D16">
        <w:rPr>
          <w:rFonts w:cs="Arial"/>
          <w:b/>
          <w:bCs/>
          <w:sz w:val="32"/>
          <w:szCs w:val="32"/>
        </w:rPr>
        <w:t>recupero evasione</w:t>
      </w:r>
      <w:r w:rsidR="00CD3F50">
        <w:rPr>
          <w:rFonts w:cs="Arial"/>
          <w:b/>
          <w:bCs/>
          <w:sz w:val="32"/>
          <w:szCs w:val="32"/>
        </w:rPr>
        <w:t>)</w:t>
      </w:r>
    </w:p>
    <w:p w14:paraId="61F4D73B" w14:textId="77777777" w:rsidR="00F37F1B" w:rsidRPr="001642E2" w:rsidRDefault="00F37F1B" w:rsidP="00F37F1B">
      <w:pPr>
        <w:autoSpaceDE w:val="0"/>
        <w:autoSpaceDN w:val="0"/>
        <w:adjustRightInd w:val="0"/>
        <w:ind w:firstLine="709"/>
        <w:rPr>
          <w:rFonts w:cs="Arial"/>
          <w:b/>
          <w:sz w:val="28"/>
          <w:szCs w:val="28"/>
        </w:rPr>
      </w:pPr>
    </w:p>
    <w:tbl>
      <w:tblPr>
        <w:tblStyle w:val="Grigliatabella"/>
        <w:tblW w:w="0" w:type="auto"/>
        <w:tblInd w:w="1242" w:type="dxa"/>
        <w:tblLook w:val="04A0" w:firstRow="1" w:lastRow="0" w:firstColumn="1" w:lastColumn="0" w:noHBand="0" w:noVBand="1"/>
      </w:tblPr>
      <w:tblGrid>
        <w:gridCol w:w="4962"/>
        <w:gridCol w:w="3118"/>
      </w:tblGrid>
      <w:tr w:rsidR="00F37F1B" w:rsidRPr="001642E2" w14:paraId="567B0680" w14:textId="77777777" w:rsidTr="00C7678A">
        <w:tc>
          <w:tcPr>
            <w:tcW w:w="4962" w:type="dxa"/>
          </w:tcPr>
          <w:p w14:paraId="08F1DF02" w14:textId="77777777" w:rsidR="00F37F1B" w:rsidRPr="001642E2" w:rsidRDefault="00F37F1B" w:rsidP="00C7678A">
            <w:pPr>
              <w:autoSpaceDE w:val="0"/>
              <w:autoSpaceDN w:val="0"/>
              <w:adjustRightInd w:val="0"/>
              <w:rPr>
                <w:rFonts w:cs="Arial"/>
                <w:b/>
                <w:sz w:val="28"/>
                <w:szCs w:val="28"/>
              </w:rPr>
            </w:pPr>
            <w:r w:rsidRPr="001642E2">
              <w:rPr>
                <w:rFonts w:cs="Arial"/>
                <w:b/>
                <w:sz w:val="28"/>
                <w:szCs w:val="28"/>
              </w:rPr>
              <w:t>PARTE VARIABILE</w:t>
            </w:r>
          </w:p>
        </w:tc>
        <w:tc>
          <w:tcPr>
            <w:tcW w:w="3118" w:type="dxa"/>
          </w:tcPr>
          <w:p w14:paraId="42050AC5" w14:textId="063A109E" w:rsidR="00F37F1B" w:rsidRPr="001642E2" w:rsidRDefault="006D1C38" w:rsidP="00C7678A">
            <w:pPr>
              <w:autoSpaceDE w:val="0"/>
              <w:autoSpaceDN w:val="0"/>
              <w:adjustRightInd w:val="0"/>
              <w:jc w:val="right"/>
              <w:rPr>
                <w:rFonts w:cs="Arial"/>
                <w:b/>
                <w:sz w:val="28"/>
                <w:szCs w:val="28"/>
              </w:rPr>
            </w:pPr>
            <w:r>
              <w:rPr>
                <w:rFonts w:cs="Arial"/>
                <w:b/>
                <w:sz w:val="28"/>
                <w:szCs w:val="28"/>
              </w:rPr>
              <w:t>205.041</w:t>
            </w:r>
            <w:r w:rsidR="00F37F1B" w:rsidRPr="001642E2">
              <w:rPr>
                <w:rFonts w:cs="Arial"/>
                <w:b/>
                <w:sz w:val="28"/>
                <w:szCs w:val="28"/>
              </w:rPr>
              <w:t>,00 €</w:t>
            </w:r>
          </w:p>
        </w:tc>
      </w:tr>
      <w:tr w:rsidR="00F37F1B" w14:paraId="08AAD06C" w14:textId="77777777" w:rsidTr="00C7678A">
        <w:tc>
          <w:tcPr>
            <w:tcW w:w="4962" w:type="dxa"/>
          </w:tcPr>
          <w:p w14:paraId="48B53BA9" w14:textId="77777777" w:rsidR="00F37F1B" w:rsidRPr="001642E2" w:rsidRDefault="00F37F1B" w:rsidP="00C7678A">
            <w:pPr>
              <w:autoSpaceDE w:val="0"/>
              <w:autoSpaceDN w:val="0"/>
              <w:adjustRightInd w:val="0"/>
              <w:rPr>
                <w:rFonts w:cs="Arial"/>
                <w:b/>
                <w:sz w:val="28"/>
                <w:szCs w:val="28"/>
              </w:rPr>
            </w:pPr>
            <w:r w:rsidRPr="001642E2">
              <w:rPr>
                <w:rFonts w:cs="Arial"/>
                <w:b/>
                <w:sz w:val="28"/>
                <w:szCs w:val="28"/>
              </w:rPr>
              <w:t>PARTE FISSA</w:t>
            </w:r>
          </w:p>
        </w:tc>
        <w:tc>
          <w:tcPr>
            <w:tcW w:w="3118" w:type="dxa"/>
          </w:tcPr>
          <w:p w14:paraId="6BBE9018" w14:textId="58782727" w:rsidR="00F37F1B" w:rsidRDefault="006D1C38" w:rsidP="00C7678A">
            <w:pPr>
              <w:autoSpaceDE w:val="0"/>
              <w:autoSpaceDN w:val="0"/>
              <w:adjustRightInd w:val="0"/>
              <w:jc w:val="right"/>
              <w:rPr>
                <w:rFonts w:cs="Arial"/>
                <w:b/>
                <w:sz w:val="28"/>
                <w:szCs w:val="28"/>
              </w:rPr>
            </w:pPr>
            <w:r>
              <w:rPr>
                <w:rFonts w:cs="Arial"/>
                <w:b/>
                <w:sz w:val="28"/>
                <w:szCs w:val="28"/>
              </w:rPr>
              <w:t>41.252</w:t>
            </w:r>
            <w:r w:rsidR="00F37F1B" w:rsidRPr="001642E2">
              <w:rPr>
                <w:rFonts w:cs="Arial"/>
                <w:b/>
                <w:sz w:val="28"/>
                <w:szCs w:val="28"/>
              </w:rPr>
              <w:t>,00 €</w:t>
            </w:r>
          </w:p>
        </w:tc>
      </w:tr>
    </w:tbl>
    <w:p w14:paraId="1C0A81B3" w14:textId="77777777" w:rsidR="00F37F1B" w:rsidRPr="00970568" w:rsidRDefault="00F37F1B" w:rsidP="00F37F1B">
      <w:pPr>
        <w:spacing w:line="276" w:lineRule="auto"/>
        <w:rPr>
          <w:rFonts w:cs="Arial"/>
          <w:color w:val="000000"/>
          <w:szCs w:val="20"/>
          <w:lang w:eastAsia="en-US"/>
        </w:rPr>
      </w:pPr>
    </w:p>
    <w:p w14:paraId="145FBC8D" w14:textId="1050A323" w:rsidR="00661786" w:rsidRDefault="00AF1996" w:rsidP="00F37F1B">
      <w:pPr>
        <w:pStyle w:val="Titolo1"/>
        <w:numPr>
          <w:ilvl w:val="0"/>
          <w:numId w:val="0"/>
        </w:numPr>
        <w:ind w:left="709"/>
        <w:rPr>
          <w:lang w:eastAsia="en-GB"/>
        </w:rPr>
      </w:pPr>
      <w:r>
        <w:rPr>
          <w:lang w:eastAsia="en-GB"/>
        </w:rPr>
        <w:t>Di seguito</w:t>
      </w:r>
      <w:r w:rsidR="006201CC">
        <w:rPr>
          <w:lang w:eastAsia="en-GB"/>
        </w:rPr>
        <w:t xml:space="preserve"> </w:t>
      </w:r>
      <w:r w:rsidR="00D52519">
        <w:rPr>
          <w:lang w:eastAsia="en-GB"/>
        </w:rPr>
        <w:t>dettaglio importi</w:t>
      </w:r>
      <w:r w:rsidR="006201CC">
        <w:rPr>
          <w:lang w:eastAsia="en-GB"/>
        </w:rPr>
        <w:t>:</w:t>
      </w:r>
    </w:p>
    <w:p w14:paraId="001829AE" w14:textId="5E6CC887" w:rsidR="000E440F" w:rsidRDefault="000E440F" w:rsidP="000E440F">
      <w:pPr>
        <w:rPr>
          <w:lang w:eastAsia="en-GB"/>
        </w:rPr>
      </w:pPr>
      <w:r>
        <w:rPr>
          <w:noProof/>
        </w:rPr>
        <w:drawing>
          <wp:inline distT="0" distB="0" distL="0" distR="0" wp14:anchorId="0E55DDEE" wp14:editId="74B15B55">
            <wp:extent cx="6120130" cy="2021840"/>
            <wp:effectExtent l="0" t="0" r="0" b="0"/>
            <wp:docPr id="959629782" name="Immagine 1" descr="Immagine che contiene testo, schermata, linea, num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629782" name="Immagine 1" descr="Immagine che contiene testo, schermata, linea, numero&#10;&#10;Descrizione generata automaticamente"/>
                    <pic:cNvPicPr/>
                  </pic:nvPicPr>
                  <pic:blipFill>
                    <a:blip r:embed="rId12"/>
                    <a:stretch>
                      <a:fillRect/>
                    </a:stretch>
                  </pic:blipFill>
                  <pic:spPr>
                    <a:xfrm>
                      <a:off x="0" y="0"/>
                      <a:ext cx="6120130" cy="2021840"/>
                    </a:xfrm>
                    <a:prstGeom prst="rect">
                      <a:avLst/>
                    </a:prstGeom>
                  </pic:spPr>
                </pic:pic>
              </a:graphicData>
            </a:graphic>
          </wp:inline>
        </w:drawing>
      </w:r>
    </w:p>
    <w:p w14:paraId="38858335" w14:textId="1A85775D" w:rsidR="000E440F" w:rsidRDefault="000E440F" w:rsidP="000E440F">
      <w:pPr>
        <w:rPr>
          <w:lang w:eastAsia="en-GB"/>
        </w:rPr>
      </w:pPr>
      <w:r>
        <w:rPr>
          <w:noProof/>
        </w:rPr>
        <w:lastRenderedPageBreak/>
        <w:drawing>
          <wp:inline distT="0" distB="0" distL="0" distR="0" wp14:anchorId="0D40EADA" wp14:editId="0F0D42CE">
            <wp:extent cx="6120130" cy="2005965"/>
            <wp:effectExtent l="0" t="0" r="0" b="0"/>
            <wp:docPr id="685253453" name="Immagine 1" descr="Immagine che contiene testo, schermata, linea, num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253453" name="Immagine 1" descr="Immagine che contiene testo, schermata, linea, numero&#10;&#10;Descrizione generata automaticamente"/>
                    <pic:cNvPicPr/>
                  </pic:nvPicPr>
                  <pic:blipFill>
                    <a:blip r:embed="rId13"/>
                    <a:stretch>
                      <a:fillRect/>
                    </a:stretch>
                  </pic:blipFill>
                  <pic:spPr>
                    <a:xfrm>
                      <a:off x="0" y="0"/>
                      <a:ext cx="6120130" cy="2005965"/>
                    </a:xfrm>
                    <a:prstGeom prst="rect">
                      <a:avLst/>
                    </a:prstGeom>
                  </pic:spPr>
                </pic:pic>
              </a:graphicData>
            </a:graphic>
          </wp:inline>
        </w:drawing>
      </w:r>
    </w:p>
    <w:p w14:paraId="492C1CB6" w14:textId="77777777" w:rsidR="000E440F" w:rsidRDefault="000E440F" w:rsidP="000E440F">
      <w:pPr>
        <w:rPr>
          <w:lang w:eastAsia="en-GB"/>
        </w:rPr>
      </w:pPr>
    </w:p>
    <w:p w14:paraId="5536ECFA" w14:textId="12D0FD21" w:rsidR="000E440F" w:rsidRPr="000E440F" w:rsidRDefault="000E440F" w:rsidP="000E440F">
      <w:pPr>
        <w:rPr>
          <w:lang w:eastAsia="en-GB"/>
        </w:rPr>
      </w:pPr>
      <w:r>
        <w:rPr>
          <w:noProof/>
        </w:rPr>
        <w:drawing>
          <wp:inline distT="0" distB="0" distL="0" distR="0" wp14:anchorId="768B93DB" wp14:editId="2FB23B9B">
            <wp:extent cx="6120130" cy="3458210"/>
            <wp:effectExtent l="0" t="0" r="0" b="8890"/>
            <wp:docPr id="783440278" name="Immagine 1" descr="Immagine che contiene testo, schermata, Parallelo, softwa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440278" name="Immagine 1" descr="Immagine che contiene testo, schermata, Parallelo, software&#10;&#10;Descrizione generata automaticamente"/>
                    <pic:cNvPicPr/>
                  </pic:nvPicPr>
                  <pic:blipFill>
                    <a:blip r:embed="rId14"/>
                    <a:stretch>
                      <a:fillRect/>
                    </a:stretch>
                  </pic:blipFill>
                  <pic:spPr>
                    <a:xfrm>
                      <a:off x="0" y="0"/>
                      <a:ext cx="6120130" cy="3458210"/>
                    </a:xfrm>
                    <a:prstGeom prst="rect">
                      <a:avLst/>
                    </a:prstGeom>
                  </pic:spPr>
                </pic:pic>
              </a:graphicData>
            </a:graphic>
          </wp:inline>
        </w:drawing>
      </w:r>
    </w:p>
    <w:p w14:paraId="0B45B310" w14:textId="07D10A6B" w:rsidR="006201CC" w:rsidRDefault="000E440F" w:rsidP="006201CC">
      <w:pPr>
        <w:rPr>
          <w:lang w:eastAsia="en-GB"/>
        </w:rPr>
      </w:pPr>
      <w:r>
        <w:rPr>
          <w:noProof/>
        </w:rPr>
        <w:drawing>
          <wp:inline distT="0" distB="0" distL="0" distR="0" wp14:anchorId="79896948" wp14:editId="21666C62">
            <wp:extent cx="6120130" cy="941070"/>
            <wp:effectExtent l="0" t="0" r="0" b="0"/>
            <wp:docPr id="639054465" name="Immagine 1" descr="Immagine che contiene schermata, testo,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054465" name="Immagine 1" descr="Immagine che contiene schermata, testo, design&#10;&#10;Descrizione generata automaticamente"/>
                    <pic:cNvPicPr/>
                  </pic:nvPicPr>
                  <pic:blipFill>
                    <a:blip r:embed="rId15"/>
                    <a:stretch>
                      <a:fillRect/>
                    </a:stretch>
                  </pic:blipFill>
                  <pic:spPr>
                    <a:xfrm>
                      <a:off x="0" y="0"/>
                      <a:ext cx="6120130" cy="941070"/>
                    </a:xfrm>
                    <a:prstGeom prst="rect">
                      <a:avLst/>
                    </a:prstGeom>
                  </pic:spPr>
                </pic:pic>
              </a:graphicData>
            </a:graphic>
          </wp:inline>
        </w:drawing>
      </w:r>
    </w:p>
    <w:p w14:paraId="38EAD446" w14:textId="5B9A5FAD" w:rsidR="00D52519" w:rsidRPr="006201CC" w:rsidRDefault="00D52519" w:rsidP="006201CC">
      <w:pPr>
        <w:rPr>
          <w:lang w:eastAsia="en-GB"/>
        </w:rPr>
      </w:pPr>
    </w:p>
    <w:sectPr w:rsidR="00D52519" w:rsidRPr="006201CC">
      <w:headerReference w:type="default" r:id="rId16"/>
      <w:footerReference w:type="even" r:id="rId17"/>
      <w:footerReference w:type="default" r:id="rId18"/>
      <w:pgSz w:w="11906" w:h="16838"/>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13D77" w14:textId="77777777" w:rsidR="00245BB9" w:rsidRDefault="00245BB9" w:rsidP="00393406">
      <w:r>
        <w:separator/>
      </w:r>
    </w:p>
  </w:endnote>
  <w:endnote w:type="continuationSeparator" w:id="0">
    <w:p w14:paraId="046FCD8B" w14:textId="77777777" w:rsidR="00245BB9" w:rsidRDefault="00245BB9" w:rsidP="0039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Math">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2C41" w14:textId="77777777" w:rsidR="00E97C48" w:rsidRDefault="00E97C48" w:rsidP="00393406">
    <w:pPr>
      <w:pStyle w:val="Pidipagina"/>
      <w:rPr>
        <w:rStyle w:val="Numeropagina"/>
      </w:rPr>
    </w:pPr>
    <w:r>
      <w:rPr>
        <w:rStyle w:val="Numeropagina"/>
      </w:rPr>
      <w:fldChar w:fldCharType="begin"/>
    </w:r>
    <w:r>
      <w:rPr>
        <w:rStyle w:val="Numeropagina"/>
      </w:rPr>
      <w:instrText xml:space="preserve">PAGE  </w:instrText>
    </w:r>
    <w:r>
      <w:rPr>
        <w:rStyle w:val="Numeropagina"/>
      </w:rPr>
      <w:fldChar w:fldCharType="end"/>
    </w:r>
  </w:p>
  <w:p w14:paraId="7AA1AC1A" w14:textId="77777777" w:rsidR="00E97C48" w:rsidRDefault="00E97C48" w:rsidP="0039340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0D0E" w14:textId="77777777" w:rsidR="00E97C48" w:rsidRDefault="00E97C48">
    <w:pPr>
      <w:pStyle w:val="Pidipagina"/>
      <w:jc w:val="right"/>
    </w:pPr>
    <w:r>
      <w:fldChar w:fldCharType="begin"/>
    </w:r>
    <w:r>
      <w:instrText>PAGE   \* MERGEFORMAT</w:instrText>
    </w:r>
    <w:r>
      <w:fldChar w:fldCharType="separate"/>
    </w:r>
    <w:r w:rsidR="0054478F" w:rsidRPr="0054478F">
      <w:rPr>
        <w:noProof/>
        <w:lang w:val="it-IT"/>
      </w:rPr>
      <w:t>16</w:t>
    </w:r>
    <w:r>
      <w:fldChar w:fldCharType="end"/>
    </w:r>
  </w:p>
  <w:p w14:paraId="2C39AF73" w14:textId="77777777" w:rsidR="00E97C48" w:rsidRPr="000E440F" w:rsidRDefault="00E97C48" w:rsidP="00393406">
    <w:pPr>
      <w:pStyle w:val="Pidipagina"/>
      <w:rPr>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B8C1B" w14:textId="77777777" w:rsidR="00245BB9" w:rsidRDefault="00245BB9" w:rsidP="00393406">
      <w:r>
        <w:separator/>
      </w:r>
    </w:p>
  </w:footnote>
  <w:footnote w:type="continuationSeparator" w:id="0">
    <w:p w14:paraId="2B2B4612" w14:textId="77777777" w:rsidR="00245BB9" w:rsidRDefault="00245BB9" w:rsidP="00393406">
      <w:r>
        <w:continuationSeparator/>
      </w:r>
    </w:p>
  </w:footnote>
  <w:footnote w:id="1">
    <w:p w14:paraId="0A85F20A" w14:textId="3218EF72" w:rsidR="009E2126" w:rsidRPr="009E2126" w:rsidRDefault="009E2126">
      <w:pPr>
        <w:pStyle w:val="Testonotaapidipagina"/>
        <w:rPr>
          <w:sz w:val="14"/>
          <w:szCs w:val="14"/>
          <w:lang w:val="it-IT"/>
        </w:rPr>
      </w:pPr>
      <w:r w:rsidRPr="009E2126">
        <w:rPr>
          <w:rStyle w:val="Rimandonotaapidipagina"/>
          <w:sz w:val="14"/>
          <w:szCs w:val="14"/>
        </w:rPr>
        <w:footnoteRef/>
      </w:r>
      <w:r w:rsidRPr="00F57AA6">
        <w:rPr>
          <w:sz w:val="14"/>
          <w:szCs w:val="14"/>
          <w:lang w:val="it-IT"/>
        </w:rPr>
        <w:t xml:space="preserve"> Rif. Articolo 33 bis del Decreto-Legge 248/07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42C4A" w14:textId="77777777" w:rsidR="000E440F" w:rsidRPr="000E440F" w:rsidRDefault="000E440F" w:rsidP="000E440F">
    <w:pPr>
      <w:pStyle w:val="Intestazione"/>
      <w:jc w:val="both"/>
      <w:rPr>
        <w:color w:va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65pt;height:20.65pt" o:bullet="t">
        <v:imagedata r:id="rId1" o:title="Punto elenco_1"/>
      </v:shape>
    </w:pict>
  </w:numPicBullet>
  <w:numPicBullet w:numPicBulletId="1">
    <w:pict>
      <v:shape id="_x0000_i1027" type="#_x0000_t75" style="width:20.65pt;height:20.65pt" o:bullet="t">
        <v:imagedata r:id="rId2" o:title="Punto elenco_2"/>
      </v:shape>
    </w:pict>
  </w:numPicBullet>
  <w:numPicBullet w:numPicBulletId="2">
    <w:pict>
      <v:shape id="_x0000_i1028" type="#_x0000_t75" style="width:20.65pt;height:20.65pt" o:bullet="t">
        <v:imagedata r:id="rId3" o:title="Punto elenco"/>
      </v:shape>
    </w:pict>
  </w:numPicBullet>
  <w:numPicBullet w:numPicBulletId="3">
    <w:pict>
      <v:shape id="_x0000_i1029" type="#_x0000_t75" style="width:20.65pt;height:20.65pt" o:bullet="t">
        <v:imagedata r:id="rId4" o:title="Punto elenco"/>
      </v:shape>
    </w:pict>
  </w:numPicBullet>
  <w:abstractNum w:abstractNumId="0" w15:restartNumberingAfterBreak="0">
    <w:nsid w:val="C9419C9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9ABFCA9"/>
    <w:multiLevelType w:val="hybridMultilevel"/>
    <w:tmpl w:val="C2B429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AE20E4"/>
    <w:multiLevelType w:val="hybridMultilevel"/>
    <w:tmpl w:val="09FEAB44"/>
    <w:lvl w:ilvl="0" w:tplc="A55896FC">
      <w:start w:val="1"/>
      <w:numFmt w:val="bullet"/>
      <w:lvlText w:val=""/>
      <w:lvlPicBulletId w:val="0"/>
      <w:lvlJc w:val="left"/>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7B1203"/>
    <w:multiLevelType w:val="hybridMultilevel"/>
    <w:tmpl w:val="1EB0B1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5DE22D4"/>
    <w:multiLevelType w:val="hybridMultilevel"/>
    <w:tmpl w:val="7D9E91E4"/>
    <w:lvl w:ilvl="0" w:tplc="6854F3E0">
      <w:start w:val="1"/>
      <w:numFmt w:val="bullet"/>
      <w:lvlText w:val=""/>
      <w:lvlPicBulletId w:val="2"/>
      <w:lvlJc w:val="left"/>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7751387"/>
    <w:multiLevelType w:val="hybridMultilevel"/>
    <w:tmpl w:val="AE0A5192"/>
    <w:lvl w:ilvl="0" w:tplc="FFFFFFFF">
      <w:start w:val="1"/>
      <w:numFmt w:val="bullet"/>
      <w:lvlText w:val=""/>
      <w:lvlPicBulletId w:val="0"/>
      <w:lvlJc w:val="left"/>
      <w:pPr>
        <w:ind w:left="720" w:hanging="360"/>
      </w:pPr>
      <w:rPr>
        <w:rFonts w:ascii="Symbol" w:hAnsi="Symbol" w:hint="default"/>
        <w:color w:val="auto"/>
      </w:rPr>
    </w:lvl>
    <w:lvl w:ilvl="1" w:tplc="9F0ABDCE">
      <w:start w:val="1"/>
      <w:numFmt w:val="bullet"/>
      <w:lvlText w:val=""/>
      <w:lvlPicBulletId w:val="1"/>
      <w:lvlJc w:val="left"/>
      <w:pPr>
        <w:ind w:left="1440" w:hanging="360"/>
      </w:pPr>
      <w:rPr>
        <w:rFonts w:ascii="Symbol" w:hAnsi="Symbol"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D278DF"/>
    <w:multiLevelType w:val="hybridMultilevel"/>
    <w:tmpl w:val="DA92C460"/>
    <w:lvl w:ilvl="0" w:tplc="45287A2A">
      <w:start w:val="1"/>
      <w:numFmt w:val="bullet"/>
      <w:lvlText w:val=""/>
      <w:lvlJc w:val="left"/>
      <w:pPr>
        <w:ind w:left="530" w:hanging="360"/>
      </w:pPr>
      <w:rPr>
        <w:rFonts w:ascii="Symbol" w:hAnsi="Symbol" w:hint="default"/>
        <w:sz w:val="12"/>
        <w:szCs w:val="12"/>
      </w:rPr>
    </w:lvl>
    <w:lvl w:ilvl="1" w:tplc="04100003" w:tentative="1">
      <w:start w:val="1"/>
      <w:numFmt w:val="bullet"/>
      <w:lvlText w:val="o"/>
      <w:lvlJc w:val="left"/>
      <w:pPr>
        <w:ind w:left="1250" w:hanging="360"/>
      </w:pPr>
      <w:rPr>
        <w:rFonts w:ascii="Courier New" w:hAnsi="Courier New" w:cs="Courier New" w:hint="default"/>
      </w:rPr>
    </w:lvl>
    <w:lvl w:ilvl="2" w:tplc="04100005" w:tentative="1">
      <w:start w:val="1"/>
      <w:numFmt w:val="bullet"/>
      <w:lvlText w:val=""/>
      <w:lvlJc w:val="left"/>
      <w:pPr>
        <w:ind w:left="1970" w:hanging="360"/>
      </w:pPr>
      <w:rPr>
        <w:rFonts w:ascii="Wingdings" w:hAnsi="Wingdings" w:hint="default"/>
      </w:rPr>
    </w:lvl>
    <w:lvl w:ilvl="3" w:tplc="04100001" w:tentative="1">
      <w:start w:val="1"/>
      <w:numFmt w:val="bullet"/>
      <w:lvlText w:val=""/>
      <w:lvlJc w:val="left"/>
      <w:pPr>
        <w:ind w:left="2690" w:hanging="360"/>
      </w:pPr>
      <w:rPr>
        <w:rFonts w:ascii="Symbol" w:hAnsi="Symbol" w:hint="default"/>
      </w:rPr>
    </w:lvl>
    <w:lvl w:ilvl="4" w:tplc="04100003" w:tentative="1">
      <w:start w:val="1"/>
      <w:numFmt w:val="bullet"/>
      <w:lvlText w:val="o"/>
      <w:lvlJc w:val="left"/>
      <w:pPr>
        <w:ind w:left="3410" w:hanging="360"/>
      </w:pPr>
      <w:rPr>
        <w:rFonts w:ascii="Courier New" w:hAnsi="Courier New" w:cs="Courier New" w:hint="default"/>
      </w:rPr>
    </w:lvl>
    <w:lvl w:ilvl="5" w:tplc="04100005" w:tentative="1">
      <w:start w:val="1"/>
      <w:numFmt w:val="bullet"/>
      <w:lvlText w:val=""/>
      <w:lvlJc w:val="left"/>
      <w:pPr>
        <w:ind w:left="4130" w:hanging="360"/>
      </w:pPr>
      <w:rPr>
        <w:rFonts w:ascii="Wingdings" w:hAnsi="Wingdings" w:hint="default"/>
      </w:rPr>
    </w:lvl>
    <w:lvl w:ilvl="6" w:tplc="04100001" w:tentative="1">
      <w:start w:val="1"/>
      <w:numFmt w:val="bullet"/>
      <w:lvlText w:val=""/>
      <w:lvlJc w:val="left"/>
      <w:pPr>
        <w:ind w:left="4850" w:hanging="360"/>
      </w:pPr>
      <w:rPr>
        <w:rFonts w:ascii="Symbol" w:hAnsi="Symbol" w:hint="default"/>
      </w:rPr>
    </w:lvl>
    <w:lvl w:ilvl="7" w:tplc="04100003" w:tentative="1">
      <w:start w:val="1"/>
      <w:numFmt w:val="bullet"/>
      <w:lvlText w:val="o"/>
      <w:lvlJc w:val="left"/>
      <w:pPr>
        <w:ind w:left="5570" w:hanging="360"/>
      </w:pPr>
      <w:rPr>
        <w:rFonts w:ascii="Courier New" w:hAnsi="Courier New" w:cs="Courier New" w:hint="default"/>
      </w:rPr>
    </w:lvl>
    <w:lvl w:ilvl="8" w:tplc="04100005" w:tentative="1">
      <w:start w:val="1"/>
      <w:numFmt w:val="bullet"/>
      <w:lvlText w:val=""/>
      <w:lvlJc w:val="left"/>
      <w:pPr>
        <w:ind w:left="6290" w:hanging="360"/>
      </w:pPr>
      <w:rPr>
        <w:rFonts w:ascii="Wingdings" w:hAnsi="Wingdings" w:hint="default"/>
      </w:rPr>
    </w:lvl>
  </w:abstractNum>
  <w:abstractNum w:abstractNumId="7" w15:restartNumberingAfterBreak="0">
    <w:nsid w:val="1BE54EA8"/>
    <w:multiLevelType w:val="hybridMultilevel"/>
    <w:tmpl w:val="9EE65C26"/>
    <w:lvl w:ilvl="0" w:tplc="6854F3E0">
      <w:start w:val="1"/>
      <w:numFmt w:val="bullet"/>
      <w:lvlText w:val=""/>
      <w:lvlPicBulletId w:val="2"/>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0DB3BA5"/>
    <w:multiLevelType w:val="hybridMultilevel"/>
    <w:tmpl w:val="E9DC4BF6"/>
    <w:lvl w:ilvl="0" w:tplc="39F613A8">
      <w:start w:val="1"/>
      <w:numFmt w:val="bullet"/>
      <w:lvlText w:val=""/>
      <w:lvlPicBulletId w:val="0"/>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2466093C"/>
    <w:multiLevelType w:val="hybridMultilevel"/>
    <w:tmpl w:val="FDF06D38"/>
    <w:lvl w:ilvl="0" w:tplc="A55896FC">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4EA6AB1"/>
    <w:multiLevelType w:val="hybridMultilevel"/>
    <w:tmpl w:val="33081374"/>
    <w:lvl w:ilvl="0" w:tplc="39F613A8">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1D57342"/>
    <w:multiLevelType w:val="hybridMultilevel"/>
    <w:tmpl w:val="FD960E82"/>
    <w:lvl w:ilvl="0" w:tplc="79147692">
      <w:start w:val="1"/>
      <w:numFmt w:val="bullet"/>
      <w:lvlText w:val=""/>
      <w:lvlPicBulletId w:val="2"/>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9B815AD"/>
    <w:multiLevelType w:val="hybridMultilevel"/>
    <w:tmpl w:val="A024310A"/>
    <w:lvl w:ilvl="0" w:tplc="39F613A8">
      <w:start w:val="1"/>
      <w:numFmt w:val="bullet"/>
      <w:lvlText w:val=""/>
      <w:lvlPicBulletId w:val="0"/>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B09155F"/>
    <w:multiLevelType w:val="hybridMultilevel"/>
    <w:tmpl w:val="0AE41498"/>
    <w:lvl w:ilvl="0" w:tplc="6854F3E0">
      <w:start w:val="1"/>
      <w:numFmt w:val="bullet"/>
      <w:lvlText w:val=""/>
      <w:lvlPicBulletId w:val="2"/>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0791BAA"/>
    <w:multiLevelType w:val="multilevel"/>
    <w:tmpl w:val="8BD4EC5A"/>
    <w:lvl w:ilvl="0">
      <w:start w:val="1"/>
      <w:numFmt w:val="decimal"/>
      <w:pStyle w:val="Titolo1"/>
      <w:lvlText w:val="%1"/>
      <w:lvlJc w:val="left"/>
      <w:pPr>
        <w:tabs>
          <w:tab w:val="num" w:pos="432"/>
        </w:tabs>
        <w:ind w:left="432" w:hanging="432"/>
      </w:pPr>
    </w:lvl>
    <w:lvl w:ilvl="1">
      <w:start w:val="1"/>
      <w:numFmt w:val="decimal"/>
      <w:pStyle w:val="Titolo2"/>
      <w:lvlText w:val="%1.%2"/>
      <w:lvlJc w:val="left"/>
      <w:pPr>
        <w:tabs>
          <w:tab w:val="num" w:pos="576"/>
        </w:tabs>
        <w:ind w:left="576" w:hanging="576"/>
      </w:pPr>
    </w:lvl>
    <w:lvl w:ilvl="2">
      <w:start w:val="1"/>
      <w:numFmt w:val="decimal"/>
      <w:pStyle w:val="Titolo3"/>
      <w:lvlText w:val="%1.%2.%3"/>
      <w:lvlJc w:val="left"/>
      <w:pPr>
        <w:tabs>
          <w:tab w:val="num" w:pos="720"/>
        </w:tabs>
        <w:ind w:left="720" w:hanging="720"/>
      </w:pPr>
      <w:rPr>
        <w:b/>
        <w:bCs/>
      </w:r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5" w15:restartNumberingAfterBreak="0">
    <w:nsid w:val="42865596"/>
    <w:multiLevelType w:val="hybridMultilevel"/>
    <w:tmpl w:val="3E801D00"/>
    <w:lvl w:ilvl="0" w:tplc="79147692">
      <w:start w:val="1"/>
      <w:numFmt w:val="bullet"/>
      <w:lvlText w:val=""/>
      <w:lvlPicBulletId w:val="2"/>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2F206CC"/>
    <w:multiLevelType w:val="hybridMultilevel"/>
    <w:tmpl w:val="F84E7374"/>
    <w:lvl w:ilvl="0" w:tplc="A55896FC">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93539C3"/>
    <w:multiLevelType w:val="hybridMultilevel"/>
    <w:tmpl w:val="3DC4F70E"/>
    <w:lvl w:ilvl="0" w:tplc="6854F3E0">
      <w:start w:val="1"/>
      <w:numFmt w:val="bullet"/>
      <w:lvlText w:val=""/>
      <w:lvlPicBulletId w:val="2"/>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C3F4454"/>
    <w:multiLevelType w:val="hybridMultilevel"/>
    <w:tmpl w:val="134A6A1E"/>
    <w:lvl w:ilvl="0" w:tplc="9F0ABDCE">
      <w:start w:val="1"/>
      <w:numFmt w:val="bullet"/>
      <w:lvlText w:val=""/>
      <w:lvlPicBulletId w:val="2"/>
      <w:lvlJc w:val="left"/>
      <w:pPr>
        <w:ind w:left="767" w:hanging="360"/>
      </w:pPr>
      <w:rPr>
        <w:rFonts w:ascii="Symbol" w:hAnsi="Symbol" w:hint="default"/>
        <w:color w:val="auto"/>
      </w:rPr>
    </w:lvl>
    <w:lvl w:ilvl="1" w:tplc="04100003" w:tentative="1">
      <w:start w:val="1"/>
      <w:numFmt w:val="bullet"/>
      <w:lvlText w:val="o"/>
      <w:lvlJc w:val="left"/>
      <w:pPr>
        <w:ind w:left="1487" w:hanging="360"/>
      </w:pPr>
      <w:rPr>
        <w:rFonts w:ascii="Courier New" w:hAnsi="Courier New" w:cs="Courier New" w:hint="default"/>
      </w:rPr>
    </w:lvl>
    <w:lvl w:ilvl="2" w:tplc="04100005" w:tentative="1">
      <w:start w:val="1"/>
      <w:numFmt w:val="bullet"/>
      <w:lvlText w:val=""/>
      <w:lvlJc w:val="left"/>
      <w:pPr>
        <w:ind w:left="2207" w:hanging="360"/>
      </w:pPr>
      <w:rPr>
        <w:rFonts w:ascii="Wingdings" w:hAnsi="Wingdings" w:hint="default"/>
      </w:rPr>
    </w:lvl>
    <w:lvl w:ilvl="3" w:tplc="04100001" w:tentative="1">
      <w:start w:val="1"/>
      <w:numFmt w:val="bullet"/>
      <w:lvlText w:val=""/>
      <w:lvlJc w:val="left"/>
      <w:pPr>
        <w:ind w:left="2927" w:hanging="360"/>
      </w:pPr>
      <w:rPr>
        <w:rFonts w:ascii="Symbol" w:hAnsi="Symbol" w:hint="default"/>
      </w:rPr>
    </w:lvl>
    <w:lvl w:ilvl="4" w:tplc="04100003" w:tentative="1">
      <w:start w:val="1"/>
      <w:numFmt w:val="bullet"/>
      <w:lvlText w:val="o"/>
      <w:lvlJc w:val="left"/>
      <w:pPr>
        <w:ind w:left="3647" w:hanging="360"/>
      </w:pPr>
      <w:rPr>
        <w:rFonts w:ascii="Courier New" w:hAnsi="Courier New" w:cs="Courier New" w:hint="default"/>
      </w:rPr>
    </w:lvl>
    <w:lvl w:ilvl="5" w:tplc="04100005" w:tentative="1">
      <w:start w:val="1"/>
      <w:numFmt w:val="bullet"/>
      <w:lvlText w:val=""/>
      <w:lvlJc w:val="left"/>
      <w:pPr>
        <w:ind w:left="4367" w:hanging="360"/>
      </w:pPr>
      <w:rPr>
        <w:rFonts w:ascii="Wingdings" w:hAnsi="Wingdings" w:hint="default"/>
      </w:rPr>
    </w:lvl>
    <w:lvl w:ilvl="6" w:tplc="04100001" w:tentative="1">
      <w:start w:val="1"/>
      <w:numFmt w:val="bullet"/>
      <w:lvlText w:val=""/>
      <w:lvlJc w:val="left"/>
      <w:pPr>
        <w:ind w:left="5087" w:hanging="360"/>
      </w:pPr>
      <w:rPr>
        <w:rFonts w:ascii="Symbol" w:hAnsi="Symbol" w:hint="default"/>
      </w:rPr>
    </w:lvl>
    <w:lvl w:ilvl="7" w:tplc="04100003" w:tentative="1">
      <w:start w:val="1"/>
      <w:numFmt w:val="bullet"/>
      <w:lvlText w:val="o"/>
      <w:lvlJc w:val="left"/>
      <w:pPr>
        <w:ind w:left="5807" w:hanging="360"/>
      </w:pPr>
      <w:rPr>
        <w:rFonts w:ascii="Courier New" w:hAnsi="Courier New" w:cs="Courier New" w:hint="default"/>
      </w:rPr>
    </w:lvl>
    <w:lvl w:ilvl="8" w:tplc="04100005" w:tentative="1">
      <w:start w:val="1"/>
      <w:numFmt w:val="bullet"/>
      <w:lvlText w:val=""/>
      <w:lvlJc w:val="left"/>
      <w:pPr>
        <w:ind w:left="6527" w:hanging="360"/>
      </w:pPr>
      <w:rPr>
        <w:rFonts w:ascii="Wingdings" w:hAnsi="Wingdings" w:hint="default"/>
      </w:rPr>
    </w:lvl>
  </w:abstractNum>
  <w:abstractNum w:abstractNumId="19" w15:restartNumberingAfterBreak="0">
    <w:nsid w:val="58C71FAE"/>
    <w:multiLevelType w:val="hybridMultilevel"/>
    <w:tmpl w:val="8F867D4E"/>
    <w:lvl w:ilvl="0" w:tplc="23980310">
      <w:start w:val="1"/>
      <w:numFmt w:val="bullet"/>
      <w:lvlText w:val=""/>
      <w:lvlPicBulletId w:val="0"/>
      <w:lvlJc w:val="left"/>
      <w:pPr>
        <w:ind w:left="720" w:hanging="360"/>
      </w:pPr>
      <w:rPr>
        <w:rFonts w:ascii="Symbol" w:hAnsi="Symbol" w:hint="default"/>
        <w:color w:val="auto"/>
      </w:rPr>
    </w:lvl>
    <w:lvl w:ilvl="1" w:tplc="09B6EC72">
      <w:start w:val="1"/>
      <w:numFmt w:val="bullet"/>
      <w:lvlText w:val=""/>
      <w:lvlPicBulletId w:val="3"/>
      <w:lvlJc w:val="left"/>
      <w:rPr>
        <w:rFonts w:ascii="Symbol" w:hAnsi="Symbol" w:hint="default"/>
        <w:color w:val="auto"/>
      </w:rPr>
    </w:lvl>
    <w:lvl w:ilvl="2" w:tplc="09B6EC72">
      <w:start w:val="1"/>
      <w:numFmt w:val="bullet"/>
      <w:lvlText w:val=""/>
      <w:lvlPicBulletId w:val="3"/>
      <w:lvlJc w:val="left"/>
      <w:pPr>
        <w:ind w:left="2160" w:hanging="360"/>
      </w:pPr>
      <w:rPr>
        <w:rFonts w:ascii="Symbol" w:hAnsi="Symbol" w:hint="default"/>
        <w:color w:val="auto"/>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9461379"/>
    <w:multiLevelType w:val="hybridMultilevel"/>
    <w:tmpl w:val="910E3AA8"/>
    <w:lvl w:ilvl="0" w:tplc="6854F3E0">
      <w:start w:val="1"/>
      <w:numFmt w:val="bullet"/>
      <w:lvlText w:val=""/>
      <w:lvlPicBulletId w:val="2"/>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08655C"/>
    <w:multiLevelType w:val="hybridMultilevel"/>
    <w:tmpl w:val="904AF70C"/>
    <w:lvl w:ilvl="0" w:tplc="6854F3E0">
      <w:start w:val="1"/>
      <w:numFmt w:val="bullet"/>
      <w:lvlText w:val=""/>
      <w:lvlPicBulletId w:val="2"/>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DE440ED"/>
    <w:multiLevelType w:val="hybridMultilevel"/>
    <w:tmpl w:val="0C4AB4FA"/>
    <w:lvl w:ilvl="0" w:tplc="39F613A8">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F63343F"/>
    <w:multiLevelType w:val="hybridMultilevel"/>
    <w:tmpl w:val="2AF2FFC2"/>
    <w:lvl w:ilvl="0" w:tplc="6854F3E0">
      <w:start w:val="1"/>
      <w:numFmt w:val="bullet"/>
      <w:lvlText w:val=""/>
      <w:lvlPicBulletId w:val="2"/>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02F3450"/>
    <w:multiLevelType w:val="hybridMultilevel"/>
    <w:tmpl w:val="29B6A778"/>
    <w:lvl w:ilvl="0" w:tplc="AFFE3B88">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0600123"/>
    <w:multiLevelType w:val="hybridMultilevel"/>
    <w:tmpl w:val="86F60842"/>
    <w:lvl w:ilvl="0" w:tplc="6854F3E0">
      <w:start w:val="1"/>
      <w:numFmt w:val="bullet"/>
      <w:lvlText w:val=""/>
      <w:lvlPicBulletId w:val="2"/>
      <w:lvlJc w:val="left"/>
      <w:pPr>
        <w:ind w:left="720" w:hanging="360"/>
      </w:pPr>
      <w:rPr>
        <w:rFonts w:ascii="Symbol" w:hAnsi="Symbol" w:hint="default"/>
        <w:color w:val="auto"/>
      </w:rPr>
    </w:lvl>
    <w:lvl w:ilvl="1" w:tplc="09B6EC72">
      <w:start w:val="1"/>
      <w:numFmt w:val="bullet"/>
      <w:lvlText w:val=""/>
      <w:lvlPicBulletId w:val="3"/>
      <w:lvlJc w:val="left"/>
      <w:rPr>
        <w:rFonts w:ascii="Symbol" w:hAnsi="Symbol" w:hint="default"/>
        <w:color w:val="auto"/>
      </w:rPr>
    </w:lvl>
    <w:lvl w:ilvl="2" w:tplc="6854F3E0">
      <w:start w:val="1"/>
      <w:numFmt w:val="bullet"/>
      <w:lvlText w:val=""/>
      <w:lvlPicBulletId w:val="2"/>
      <w:lvlJc w:val="left"/>
      <w:rPr>
        <w:rFonts w:ascii="Symbol" w:hAnsi="Symbol" w:hint="default"/>
        <w:color w:val="auto"/>
      </w:rPr>
    </w:lvl>
    <w:lvl w:ilvl="3" w:tplc="09B6EC72">
      <w:start w:val="1"/>
      <w:numFmt w:val="bullet"/>
      <w:lvlText w:val=""/>
      <w:lvlPicBulletId w:val="3"/>
      <w:lvlJc w:val="left"/>
      <w:rPr>
        <w:rFonts w:ascii="Symbol" w:hAnsi="Symbol" w:hint="default"/>
        <w:color w:val="auto"/>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1733C7F"/>
    <w:multiLevelType w:val="hybridMultilevel"/>
    <w:tmpl w:val="4160758A"/>
    <w:lvl w:ilvl="0" w:tplc="79147692">
      <w:start w:val="1"/>
      <w:numFmt w:val="bullet"/>
      <w:lvlText w:val=""/>
      <w:lvlPicBulletId w:val="2"/>
      <w:lvlJc w:val="left"/>
      <w:pPr>
        <w:ind w:left="720" w:hanging="360"/>
      </w:pPr>
      <w:rPr>
        <w:rFonts w:ascii="Symbol" w:hAnsi="Symbol" w:hint="default"/>
        <w:color w:val="auto"/>
      </w:rPr>
    </w:lvl>
    <w:lvl w:ilvl="1" w:tplc="995249D0">
      <w:start w:val="1"/>
      <w:numFmt w:val="bullet"/>
      <w:lvlText w:val=""/>
      <w:lvlPicBulletId w:val="1"/>
      <w:lvlJc w:val="left"/>
      <w:pPr>
        <w:ind w:left="1440" w:hanging="360"/>
      </w:pPr>
      <w:rPr>
        <w:rFonts w:ascii="Symbol" w:hAnsi="Symbol" w:hint="default"/>
        <w:color w:val="auto"/>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7870369"/>
    <w:multiLevelType w:val="singleLevel"/>
    <w:tmpl w:val="A18CF372"/>
    <w:lvl w:ilvl="0">
      <w:start w:val="1"/>
      <w:numFmt w:val="lowerLetter"/>
      <w:pStyle w:val="Testonormale"/>
      <w:lvlText w:val="%1)"/>
      <w:lvlJc w:val="left"/>
      <w:pPr>
        <w:tabs>
          <w:tab w:val="num" w:pos="720"/>
        </w:tabs>
        <w:ind w:left="720" w:hanging="360"/>
      </w:pPr>
      <w:rPr>
        <w:rFonts w:hint="default"/>
      </w:rPr>
    </w:lvl>
  </w:abstractNum>
  <w:abstractNum w:abstractNumId="28" w15:restartNumberingAfterBreak="0">
    <w:nsid w:val="682D5C47"/>
    <w:multiLevelType w:val="hybridMultilevel"/>
    <w:tmpl w:val="98021664"/>
    <w:lvl w:ilvl="0" w:tplc="39F613A8">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5091B5B"/>
    <w:multiLevelType w:val="hybridMultilevel"/>
    <w:tmpl w:val="40E2A8B6"/>
    <w:lvl w:ilvl="0" w:tplc="79147692">
      <w:start w:val="1"/>
      <w:numFmt w:val="bullet"/>
      <w:lvlText w:val=""/>
      <w:lvlPicBulletId w:val="2"/>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7AD6D29"/>
    <w:multiLevelType w:val="hybridMultilevel"/>
    <w:tmpl w:val="F84CFD58"/>
    <w:lvl w:ilvl="0" w:tplc="A55896FC">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8BA3DA2"/>
    <w:multiLevelType w:val="hybridMultilevel"/>
    <w:tmpl w:val="933250FE"/>
    <w:lvl w:ilvl="0" w:tplc="F5A8F3C6">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A962E9B"/>
    <w:multiLevelType w:val="hybridMultilevel"/>
    <w:tmpl w:val="1EB0B1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C800B36"/>
    <w:multiLevelType w:val="multilevel"/>
    <w:tmpl w:val="5590F4CC"/>
    <w:lvl w:ilvl="0">
      <w:start w:val="1"/>
      <w:numFmt w:val="upperRoman"/>
      <w:pStyle w:val="titoli"/>
      <w:suff w:val="space"/>
      <w:lvlText w:val="Titolo %1"/>
      <w:lvlJc w:val="left"/>
      <w:pPr>
        <w:ind w:left="4537" w:firstLine="0"/>
      </w:pPr>
      <w:rPr>
        <w:rFonts w:ascii="Times New Roman" w:hAnsi="Times New Roman" w:hint="default"/>
        <w:b/>
        <w:i w:val="0"/>
        <w:sz w:val="24"/>
      </w:rPr>
    </w:lvl>
    <w:lvl w:ilvl="1">
      <w:start w:val="1"/>
      <w:numFmt w:val="decimal"/>
      <w:pStyle w:val="capitoli"/>
      <w:suff w:val="space"/>
      <w:lvlText w:val="Capitolo %2"/>
      <w:lvlJc w:val="left"/>
      <w:pPr>
        <w:ind w:left="0" w:firstLine="0"/>
      </w:pPr>
      <w:rPr>
        <w:rFonts w:ascii="Times New Roman" w:hAnsi="Times New Roman" w:hint="default"/>
        <w:b/>
        <w:i w:val="0"/>
        <w:sz w:val="24"/>
      </w:rPr>
    </w:lvl>
    <w:lvl w:ilvl="2">
      <w:start w:val="1"/>
      <w:numFmt w:val="decimal"/>
      <w:lvlRestart w:val="0"/>
      <w:pStyle w:val="numarticoli"/>
      <w:suff w:val="space"/>
      <w:lvlText w:val="Articolo %3"/>
      <w:lvlJc w:val="left"/>
      <w:pPr>
        <w:ind w:left="2552" w:firstLine="567"/>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none"/>
      <w:pStyle w:val="nomearticoli"/>
      <w:suff w:val="nothing"/>
      <w:lvlText w:val=""/>
      <w:lvlJc w:val="center"/>
      <w:pPr>
        <w:ind w:left="0" w:firstLine="0"/>
      </w:pPr>
      <w:rPr>
        <w:rFonts w:hint="default"/>
      </w:rPr>
    </w:lvl>
    <w:lvl w:ilvl="4">
      <w:start w:val="1"/>
      <w:numFmt w:val="decimal"/>
      <w:pStyle w:val="commi"/>
      <w:lvlText w:val="%3.%5"/>
      <w:lvlJc w:val="left"/>
      <w:pPr>
        <w:tabs>
          <w:tab w:val="num" w:pos="567"/>
        </w:tabs>
        <w:ind w:left="567" w:hanging="567"/>
      </w:pPr>
      <w:rPr>
        <w:rFonts w:hint="default"/>
        <w:b w:val="0"/>
        <w:color w:val="auto"/>
      </w:rPr>
    </w:lvl>
    <w:lvl w:ilvl="5">
      <w:start w:val="1"/>
      <w:numFmt w:val="lowerLetter"/>
      <w:pStyle w:val="elencoarabo"/>
      <w:lvlText w:val="%6)"/>
      <w:lvlJc w:val="left"/>
      <w:pPr>
        <w:tabs>
          <w:tab w:val="num" w:pos="1277"/>
        </w:tabs>
        <w:ind w:left="1277" w:hanging="567"/>
      </w:pPr>
      <w:rPr>
        <w:rFonts w:hint="default"/>
      </w:rPr>
    </w:lvl>
    <w:lvl w:ilvl="6">
      <w:start w:val="1"/>
      <w:numFmt w:val="lowerRoman"/>
      <w:pStyle w:val="elencoromano"/>
      <w:lvlText w:val="%7)"/>
      <w:lvlJc w:val="left"/>
      <w:pPr>
        <w:tabs>
          <w:tab w:val="num" w:pos="1854"/>
        </w:tabs>
        <w:ind w:left="1418" w:hanging="284"/>
      </w:pPr>
      <w:rPr>
        <w:rFonts w:hint="default"/>
      </w:rPr>
    </w:lvl>
    <w:lvl w:ilvl="7">
      <w:start w:val="1"/>
      <w:numFmt w:val="decimal"/>
      <w:pStyle w:val="elenconumeri"/>
      <w:lvlText w:val="%8)"/>
      <w:lvlJc w:val="left"/>
      <w:pPr>
        <w:tabs>
          <w:tab w:val="num" w:pos="1494"/>
        </w:tabs>
        <w:ind w:left="1418" w:hanging="284"/>
      </w:pPr>
      <w:rPr>
        <w:rFonts w:hint="default"/>
      </w:rPr>
    </w:lvl>
    <w:lvl w:ilvl="8">
      <w:start w:val="1"/>
      <w:numFmt w:val="none"/>
      <w:lvlText w:val=""/>
      <w:lvlJc w:val="left"/>
      <w:pPr>
        <w:tabs>
          <w:tab w:val="num" w:pos="1584"/>
        </w:tabs>
        <w:ind w:left="1584" w:hanging="1584"/>
      </w:pPr>
      <w:rPr>
        <w:rFonts w:hint="default"/>
      </w:rPr>
    </w:lvl>
  </w:abstractNum>
  <w:num w:numId="1" w16cid:durableId="748815127">
    <w:abstractNumId w:val="14"/>
  </w:num>
  <w:num w:numId="2" w16cid:durableId="1165588390">
    <w:abstractNumId w:val="27"/>
  </w:num>
  <w:num w:numId="3" w16cid:durableId="23143653">
    <w:abstractNumId w:val="33"/>
  </w:num>
  <w:num w:numId="4" w16cid:durableId="897665460">
    <w:abstractNumId w:val="28"/>
  </w:num>
  <w:num w:numId="5" w16cid:durableId="137505221">
    <w:abstractNumId w:val="12"/>
  </w:num>
  <w:num w:numId="6" w16cid:durableId="127207389">
    <w:abstractNumId w:val="19"/>
  </w:num>
  <w:num w:numId="7" w16cid:durableId="1157647174">
    <w:abstractNumId w:val="3"/>
  </w:num>
  <w:num w:numId="8" w16cid:durableId="434638706">
    <w:abstractNumId w:val="6"/>
  </w:num>
  <w:num w:numId="9" w16cid:durableId="283342051">
    <w:abstractNumId w:val="1"/>
  </w:num>
  <w:num w:numId="10" w16cid:durableId="388378965">
    <w:abstractNumId w:val="11"/>
  </w:num>
  <w:num w:numId="11" w16cid:durableId="1697268146">
    <w:abstractNumId w:val="15"/>
  </w:num>
  <w:num w:numId="12" w16cid:durableId="311100337">
    <w:abstractNumId w:val="26"/>
  </w:num>
  <w:num w:numId="13" w16cid:durableId="359206990">
    <w:abstractNumId w:val="5"/>
  </w:num>
  <w:num w:numId="14" w16cid:durableId="387723250">
    <w:abstractNumId w:val="29"/>
  </w:num>
  <w:num w:numId="15" w16cid:durableId="1371614673">
    <w:abstractNumId w:val="10"/>
  </w:num>
  <w:num w:numId="16" w16cid:durableId="347222887">
    <w:abstractNumId w:val="22"/>
  </w:num>
  <w:num w:numId="17" w16cid:durableId="1561136157">
    <w:abstractNumId w:val="4"/>
  </w:num>
  <w:num w:numId="18" w16cid:durableId="4611192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7554751">
    <w:abstractNumId w:val="23"/>
  </w:num>
  <w:num w:numId="20" w16cid:durableId="919025895">
    <w:abstractNumId w:val="21"/>
  </w:num>
  <w:num w:numId="21" w16cid:durableId="1223440938">
    <w:abstractNumId w:val="7"/>
  </w:num>
  <w:num w:numId="22" w16cid:durableId="1700859851">
    <w:abstractNumId w:val="20"/>
  </w:num>
  <w:num w:numId="23" w16cid:durableId="367803153">
    <w:abstractNumId w:val="17"/>
  </w:num>
  <w:num w:numId="24" w16cid:durableId="1481381103">
    <w:abstractNumId w:val="13"/>
  </w:num>
  <w:num w:numId="25" w16cid:durableId="867257132">
    <w:abstractNumId w:val="25"/>
  </w:num>
  <w:num w:numId="26" w16cid:durableId="1038234887">
    <w:abstractNumId w:val="8"/>
  </w:num>
  <w:num w:numId="27" w16cid:durableId="917253715">
    <w:abstractNumId w:val="18"/>
  </w:num>
  <w:num w:numId="28" w16cid:durableId="1960142402">
    <w:abstractNumId w:val="32"/>
  </w:num>
  <w:num w:numId="29" w16cid:durableId="77212271">
    <w:abstractNumId w:val="16"/>
  </w:num>
  <w:num w:numId="30" w16cid:durableId="1499036033">
    <w:abstractNumId w:val="30"/>
  </w:num>
  <w:num w:numId="31" w16cid:durableId="809712737">
    <w:abstractNumId w:val="24"/>
  </w:num>
  <w:num w:numId="32" w16cid:durableId="351418866">
    <w:abstractNumId w:val="0"/>
  </w:num>
  <w:num w:numId="33" w16cid:durableId="1230072655">
    <w:abstractNumId w:val="2"/>
  </w:num>
  <w:num w:numId="34" w16cid:durableId="312609931">
    <w:abstractNumId w:val="9"/>
  </w:num>
  <w:num w:numId="35" w16cid:durableId="1144740779">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281"/>
    <w:rsid w:val="00000C24"/>
    <w:rsid w:val="00001202"/>
    <w:rsid w:val="00001870"/>
    <w:rsid w:val="00002912"/>
    <w:rsid w:val="00004B7D"/>
    <w:rsid w:val="000061DE"/>
    <w:rsid w:val="00011D02"/>
    <w:rsid w:val="000120DB"/>
    <w:rsid w:val="00012E69"/>
    <w:rsid w:val="000142FA"/>
    <w:rsid w:val="0001505D"/>
    <w:rsid w:val="00020B36"/>
    <w:rsid w:val="00021F42"/>
    <w:rsid w:val="00022C92"/>
    <w:rsid w:val="00024DF4"/>
    <w:rsid w:val="00026264"/>
    <w:rsid w:val="0002666E"/>
    <w:rsid w:val="00033386"/>
    <w:rsid w:val="00040587"/>
    <w:rsid w:val="00040C3A"/>
    <w:rsid w:val="0004185F"/>
    <w:rsid w:val="00043147"/>
    <w:rsid w:val="00044513"/>
    <w:rsid w:val="000452C0"/>
    <w:rsid w:val="0004534F"/>
    <w:rsid w:val="00045AA5"/>
    <w:rsid w:val="0005273B"/>
    <w:rsid w:val="000543FF"/>
    <w:rsid w:val="0005522C"/>
    <w:rsid w:val="00056267"/>
    <w:rsid w:val="0005675A"/>
    <w:rsid w:val="00056D89"/>
    <w:rsid w:val="000608C0"/>
    <w:rsid w:val="0006418D"/>
    <w:rsid w:val="00064C2A"/>
    <w:rsid w:val="00067AE9"/>
    <w:rsid w:val="00070AEF"/>
    <w:rsid w:val="000725C5"/>
    <w:rsid w:val="00073DBE"/>
    <w:rsid w:val="000759EF"/>
    <w:rsid w:val="00076547"/>
    <w:rsid w:val="000767C1"/>
    <w:rsid w:val="0008161B"/>
    <w:rsid w:val="000824EC"/>
    <w:rsid w:val="000853C7"/>
    <w:rsid w:val="00090F95"/>
    <w:rsid w:val="000A2948"/>
    <w:rsid w:val="000A4113"/>
    <w:rsid w:val="000A6B3D"/>
    <w:rsid w:val="000B2B16"/>
    <w:rsid w:val="000B2D85"/>
    <w:rsid w:val="000B354D"/>
    <w:rsid w:val="000B38D7"/>
    <w:rsid w:val="000B7281"/>
    <w:rsid w:val="000C1B2F"/>
    <w:rsid w:val="000C2D48"/>
    <w:rsid w:val="000D1A64"/>
    <w:rsid w:val="000D1EA9"/>
    <w:rsid w:val="000D5AF2"/>
    <w:rsid w:val="000E01D1"/>
    <w:rsid w:val="000E1852"/>
    <w:rsid w:val="000E440F"/>
    <w:rsid w:val="000E6112"/>
    <w:rsid w:val="000F1EED"/>
    <w:rsid w:val="000F47F0"/>
    <w:rsid w:val="000F4C3E"/>
    <w:rsid w:val="000F5A01"/>
    <w:rsid w:val="000F63CA"/>
    <w:rsid w:val="000F6D09"/>
    <w:rsid w:val="00100211"/>
    <w:rsid w:val="00103E93"/>
    <w:rsid w:val="00105C6A"/>
    <w:rsid w:val="00116B1A"/>
    <w:rsid w:val="00120500"/>
    <w:rsid w:val="00122692"/>
    <w:rsid w:val="00131398"/>
    <w:rsid w:val="00131C05"/>
    <w:rsid w:val="00132498"/>
    <w:rsid w:val="001326D5"/>
    <w:rsid w:val="00136456"/>
    <w:rsid w:val="00137590"/>
    <w:rsid w:val="001416F6"/>
    <w:rsid w:val="001423C5"/>
    <w:rsid w:val="0014582D"/>
    <w:rsid w:val="00150061"/>
    <w:rsid w:val="0015064C"/>
    <w:rsid w:val="001539C8"/>
    <w:rsid w:val="00155CE3"/>
    <w:rsid w:val="00170B72"/>
    <w:rsid w:val="001712CB"/>
    <w:rsid w:val="00173110"/>
    <w:rsid w:val="0017719D"/>
    <w:rsid w:val="00177E5F"/>
    <w:rsid w:val="00180BAE"/>
    <w:rsid w:val="00183B82"/>
    <w:rsid w:val="00185CB0"/>
    <w:rsid w:val="00191492"/>
    <w:rsid w:val="00191716"/>
    <w:rsid w:val="00191E48"/>
    <w:rsid w:val="001A1508"/>
    <w:rsid w:val="001A2E02"/>
    <w:rsid w:val="001A6658"/>
    <w:rsid w:val="001A7B3F"/>
    <w:rsid w:val="001B679C"/>
    <w:rsid w:val="001C2F73"/>
    <w:rsid w:val="001C4460"/>
    <w:rsid w:val="001C58C7"/>
    <w:rsid w:val="001C7673"/>
    <w:rsid w:val="001D0278"/>
    <w:rsid w:val="001D0993"/>
    <w:rsid w:val="001D25E7"/>
    <w:rsid w:val="001D31F4"/>
    <w:rsid w:val="001E34D3"/>
    <w:rsid w:val="001E48BE"/>
    <w:rsid w:val="001E52AA"/>
    <w:rsid w:val="001F1875"/>
    <w:rsid w:val="001F40CA"/>
    <w:rsid w:val="001F5BF8"/>
    <w:rsid w:val="001F6835"/>
    <w:rsid w:val="00200084"/>
    <w:rsid w:val="002020CF"/>
    <w:rsid w:val="00203904"/>
    <w:rsid w:val="00205232"/>
    <w:rsid w:val="002054BF"/>
    <w:rsid w:val="00210755"/>
    <w:rsid w:val="00222B37"/>
    <w:rsid w:val="00224082"/>
    <w:rsid w:val="00224C9A"/>
    <w:rsid w:val="002262E7"/>
    <w:rsid w:val="002264FD"/>
    <w:rsid w:val="00230F24"/>
    <w:rsid w:val="00231194"/>
    <w:rsid w:val="002311C4"/>
    <w:rsid w:val="002312D2"/>
    <w:rsid w:val="00233E44"/>
    <w:rsid w:val="002350B7"/>
    <w:rsid w:val="00235BA9"/>
    <w:rsid w:val="00237044"/>
    <w:rsid w:val="0023764E"/>
    <w:rsid w:val="00245BB9"/>
    <w:rsid w:val="00247810"/>
    <w:rsid w:val="00253C03"/>
    <w:rsid w:val="00257BC1"/>
    <w:rsid w:val="00257ECD"/>
    <w:rsid w:val="0026283A"/>
    <w:rsid w:val="00265513"/>
    <w:rsid w:val="00266004"/>
    <w:rsid w:val="00267C20"/>
    <w:rsid w:val="002707F3"/>
    <w:rsid w:val="00276C5A"/>
    <w:rsid w:val="00285DFC"/>
    <w:rsid w:val="0029232F"/>
    <w:rsid w:val="00292926"/>
    <w:rsid w:val="002975D7"/>
    <w:rsid w:val="002A7475"/>
    <w:rsid w:val="002B2191"/>
    <w:rsid w:val="002B703E"/>
    <w:rsid w:val="002B79D1"/>
    <w:rsid w:val="002B7F53"/>
    <w:rsid w:val="002C10AE"/>
    <w:rsid w:val="002C206A"/>
    <w:rsid w:val="002D0A72"/>
    <w:rsid w:val="002D29A5"/>
    <w:rsid w:val="002D2FC5"/>
    <w:rsid w:val="002D332F"/>
    <w:rsid w:val="002D455F"/>
    <w:rsid w:val="002D7B60"/>
    <w:rsid w:val="002E08A1"/>
    <w:rsid w:val="002E1064"/>
    <w:rsid w:val="002E4353"/>
    <w:rsid w:val="002E513A"/>
    <w:rsid w:val="002F01B3"/>
    <w:rsid w:val="002F063E"/>
    <w:rsid w:val="002F435B"/>
    <w:rsid w:val="002F5AA0"/>
    <w:rsid w:val="002F7A3A"/>
    <w:rsid w:val="00304B1D"/>
    <w:rsid w:val="00305479"/>
    <w:rsid w:val="00306025"/>
    <w:rsid w:val="0030641C"/>
    <w:rsid w:val="003119A8"/>
    <w:rsid w:val="00314DB5"/>
    <w:rsid w:val="003152D0"/>
    <w:rsid w:val="0031673A"/>
    <w:rsid w:val="003201F0"/>
    <w:rsid w:val="00322EBB"/>
    <w:rsid w:val="0033482B"/>
    <w:rsid w:val="00335260"/>
    <w:rsid w:val="00336035"/>
    <w:rsid w:val="003418F5"/>
    <w:rsid w:val="0034191C"/>
    <w:rsid w:val="0034669D"/>
    <w:rsid w:val="00350707"/>
    <w:rsid w:val="00352AC0"/>
    <w:rsid w:val="003540AD"/>
    <w:rsid w:val="003540FD"/>
    <w:rsid w:val="00356C90"/>
    <w:rsid w:val="00357082"/>
    <w:rsid w:val="00357973"/>
    <w:rsid w:val="00361963"/>
    <w:rsid w:val="00362CA4"/>
    <w:rsid w:val="00362D69"/>
    <w:rsid w:val="003631EC"/>
    <w:rsid w:val="0036472B"/>
    <w:rsid w:val="00364B19"/>
    <w:rsid w:val="00364BA4"/>
    <w:rsid w:val="00372A15"/>
    <w:rsid w:val="00374317"/>
    <w:rsid w:val="003771FA"/>
    <w:rsid w:val="00380568"/>
    <w:rsid w:val="00385EC1"/>
    <w:rsid w:val="0039143D"/>
    <w:rsid w:val="003928D5"/>
    <w:rsid w:val="0039290D"/>
    <w:rsid w:val="00393406"/>
    <w:rsid w:val="00395DAA"/>
    <w:rsid w:val="003A1D16"/>
    <w:rsid w:val="003A633E"/>
    <w:rsid w:val="003B405C"/>
    <w:rsid w:val="003B4B9D"/>
    <w:rsid w:val="003B7AE7"/>
    <w:rsid w:val="003C2791"/>
    <w:rsid w:val="003C389B"/>
    <w:rsid w:val="003D11AC"/>
    <w:rsid w:val="003D1A8F"/>
    <w:rsid w:val="003D2918"/>
    <w:rsid w:val="003E1024"/>
    <w:rsid w:val="003E17B7"/>
    <w:rsid w:val="003E336F"/>
    <w:rsid w:val="003F03B4"/>
    <w:rsid w:val="003F0AC8"/>
    <w:rsid w:val="003F0BF9"/>
    <w:rsid w:val="003F1852"/>
    <w:rsid w:val="003F27C6"/>
    <w:rsid w:val="003F4EBC"/>
    <w:rsid w:val="003F69A6"/>
    <w:rsid w:val="004120A6"/>
    <w:rsid w:val="00424220"/>
    <w:rsid w:val="004248AF"/>
    <w:rsid w:val="00425690"/>
    <w:rsid w:val="004258AF"/>
    <w:rsid w:val="00430711"/>
    <w:rsid w:val="00432985"/>
    <w:rsid w:val="00433B83"/>
    <w:rsid w:val="00453958"/>
    <w:rsid w:val="004638A7"/>
    <w:rsid w:val="004639A6"/>
    <w:rsid w:val="00465063"/>
    <w:rsid w:val="00470284"/>
    <w:rsid w:val="0047253D"/>
    <w:rsid w:val="00473A5C"/>
    <w:rsid w:val="00473F95"/>
    <w:rsid w:val="004743D5"/>
    <w:rsid w:val="0047461F"/>
    <w:rsid w:val="004778CA"/>
    <w:rsid w:val="0048384D"/>
    <w:rsid w:val="00491E2C"/>
    <w:rsid w:val="00492653"/>
    <w:rsid w:val="004A2C56"/>
    <w:rsid w:val="004A764A"/>
    <w:rsid w:val="004A77C6"/>
    <w:rsid w:val="004B2D5E"/>
    <w:rsid w:val="004B3104"/>
    <w:rsid w:val="004B3885"/>
    <w:rsid w:val="004C47EA"/>
    <w:rsid w:val="004D1106"/>
    <w:rsid w:val="004D6DFC"/>
    <w:rsid w:val="004E4BBE"/>
    <w:rsid w:val="004E790D"/>
    <w:rsid w:val="004F0840"/>
    <w:rsid w:val="004F0C45"/>
    <w:rsid w:val="004F20BE"/>
    <w:rsid w:val="004F5029"/>
    <w:rsid w:val="004F6CFF"/>
    <w:rsid w:val="0050418C"/>
    <w:rsid w:val="0051002B"/>
    <w:rsid w:val="00510535"/>
    <w:rsid w:val="00510F43"/>
    <w:rsid w:val="00511CCF"/>
    <w:rsid w:val="00512D0D"/>
    <w:rsid w:val="0051454D"/>
    <w:rsid w:val="00517144"/>
    <w:rsid w:val="00521085"/>
    <w:rsid w:val="005241F5"/>
    <w:rsid w:val="00527EDD"/>
    <w:rsid w:val="005316ED"/>
    <w:rsid w:val="0054351D"/>
    <w:rsid w:val="00543E59"/>
    <w:rsid w:val="0054462D"/>
    <w:rsid w:val="0054478F"/>
    <w:rsid w:val="00545781"/>
    <w:rsid w:val="005551EC"/>
    <w:rsid w:val="00560303"/>
    <w:rsid w:val="005624D5"/>
    <w:rsid w:val="00564F24"/>
    <w:rsid w:val="00566753"/>
    <w:rsid w:val="00566DDC"/>
    <w:rsid w:val="00571257"/>
    <w:rsid w:val="00572EFF"/>
    <w:rsid w:val="005732FB"/>
    <w:rsid w:val="00577D77"/>
    <w:rsid w:val="00580312"/>
    <w:rsid w:val="00583CE5"/>
    <w:rsid w:val="0058498D"/>
    <w:rsid w:val="00591987"/>
    <w:rsid w:val="005928A7"/>
    <w:rsid w:val="005932C0"/>
    <w:rsid w:val="0059407F"/>
    <w:rsid w:val="00594C60"/>
    <w:rsid w:val="00596012"/>
    <w:rsid w:val="005A0221"/>
    <w:rsid w:val="005A2946"/>
    <w:rsid w:val="005A34D6"/>
    <w:rsid w:val="005A5AD2"/>
    <w:rsid w:val="005B0E7C"/>
    <w:rsid w:val="005B1501"/>
    <w:rsid w:val="005C4BC2"/>
    <w:rsid w:val="005C5D5E"/>
    <w:rsid w:val="005D58A8"/>
    <w:rsid w:val="005D6F6A"/>
    <w:rsid w:val="005E1B58"/>
    <w:rsid w:val="005E337F"/>
    <w:rsid w:val="005E506A"/>
    <w:rsid w:val="005E7967"/>
    <w:rsid w:val="005F11BE"/>
    <w:rsid w:val="005F4E87"/>
    <w:rsid w:val="005F5FA5"/>
    <w:rsid w:val="006044D7"/>
    <w:rsid w:val="00604A93"/>
    <w:rsid w:val="00605CA3"/>
    <w:rsid w:val="006115DE"/>
    <w:rsid w:val="0061733B"/>
    <w:rsid w:val="006201CC"/>
    <w:rsid w:val="00622307"/>
    <w:rsid w:val="00624383"/>
    <w:rsid w:val="0062779E"/>
    <w:rsid w:val="00630729"/>
    <w:rsid w:val="00636D14"/>
    <w:rsid w:val="00641DB9"/>
    <w:rsid w:val="006444F7"/>
    <w:rsid w:val="0064630C"/>
    <w:rsid w:val="00646326"/>
    <w:rsid w:val="006563D7"/>
    <w:rsid w:val="00661786"/>
    <w:rsid w:val="00662B16"/>
    <w:rsid w:val="00664696"/>
    <w:rsid w:val="00665DC9"/>
    <w:rsid w:val="006761DA"/>
    <w:rsid w:val="00681E08"/>
    <w:rsid w:val="00684D3C"/>
    <w:rsid w:val="0068528A"/>
    <w:rsid w:val="006862BA"/>
    <w:rsid w:val="00690D36"/>
    <w:rsid w:val="006940A9"/>
    <w:rsid w:val="00694647"/>
    <w:rsid w:val="00695C7C"/>
    <w:rsid w:val="006A1C69"/>
    <w:rsid w:val="006A5C41"/>
    <w:rsid w:val="006B0546"/>
    <w:rsid w:val="006B0FCC"/>
    <w:rsid w:val="006B22F9"/>
    <w:rsid w:val="006B3484"/>
    <w:rsid w:val="006B3506"/>
    <w:rsid w:val="006B5E15"/>
    <w:rsid w:val="006B60A7"/>
    <w:rsid w:val="006B7464"/>
    <w:rsid w:val="006C2B1F"/>
    <w:rsid w:val="006C2EA8"/>
    <w:rsid w:val="006C2F61"/>
    <w:rsid w:val="006C6A89"/>
    <w:rsid w:val="006D1C38"/>
    <w:rsid w:val="006D3E1A"/>
    <w:rsid w:val="006D55FF"/>
    <w:rsid w:val="006D63F9"/>
    <w:rsid w:val="006D7090"/>
    <w:rsid w:val="006E47D5"/>
    <w:rsid w:val="006F2333"/>
    <w:rsid w:val="006F2B20"/>
    <w:rsid w:val="006F4C30"/>
    <w:rsid w:val="00700758"/>
    <w:rsid w:val="007206F5"/>
    <w:rsid w:val="00721A23"/>
    <w:rsid w:val="00723893"/>
    <w:rsid w:val="007259FD"/>
    <w:rsid w:val="00731F4E"/>
    <w:rsid w:val="00732927"/>
    <w:rsid w:val="007332FE"/>
    <w:rsid w:val="00741AE2"/>
    <w:rsid w:val="00741B01"/>
    <w:rsid w:val="00743204"/>
    <w:rsid w:val="00744D3D"/>
    <w:rsid w:val="0075480F"/>
    <w:rsid w:val="00755CDE"/>
    <w:rsid w:val="007566D1"/>
    <w:rsid w:val="00761F3F"/>
    <w:rsid w:val="0076552F"/>
    <w:rsid w:val="00766113"/>
    <w:rsid w:val="00773DFA"/>
    <w:rsid w:val="00781D26"/>
    <w:rsid w:val="00784B03"/>
    <w:rsid w:val="007863B0"/>
    <w:rsid w:val="007873E6"/>
    <w:rsid w:val="00787D8D"/>
    <w:rsid w:val="00791F68"/>
    <w:rsid w:val="0079367A"/>
    <w:rsid w:val="007954FD"/>
    <w:rsid w:val="007A2157"/>
    <w:rsid w:val="007A3B20"/>
    <w:rsid w:val="007A597A"/>
    <w:rsid w:val="007A5CD3"/>
    <w:rsid w:val="007B3217"/>
    <w:rsid w:val="007B3677"/>
    <w:rsid w:val="007B596F"/>
    <w:rsid w:val="007C0678"/>
    <w:rsid w:val="007C7DBC"/>
    <w:rsid w:val="007D1568"/>
    <w:rsid w:val="007D58E4"/>
    <w:rsid w:val="007E0A61"/>
    <w:rsid w:val="007E2CA0"/>
    <w:rsid w:val="007E629C"/>
    <w:rsid w:val="007E6787"/>
    <w:rsid w:val="007E6B2F"/>
    <w:rsid w:val="007F1830"/>
    <w:rsid w:val="007F2707"/>
    <w:rsid w:val="007F5534"/>
    <w:rsid w:val="008014BD"/>
    <w:rsid w:val="008035F0"/>
    <w:rsid w:val="00804288"/>
    <w:rsid w:val="00804F1B"/>
    <w:rsid w:val="00806E6E"/>
    <w:rsid w:val="00807EC3"/>
    <w:rsid w:val="0081525D"/>
    <w:rsid w:val="00815315"/>
    <w:rsid w:val="00817AD0"/>
    <w:rsid w:val="0082449A"/>
    <w:rsid w:val="00824EF7"/>
    <w:rsid w:val="00827472"/>
    <w:rsid w:val="00827EA2"/>
    <w:rsid w:val="00834381"/>
    <w:rsid w:val="00834914"/>
    <w:rsid w:val="00835A82"/>
    <w:rsid w:val="008364FB"/>
    <w:rsid w:val="0083778D"/>
    <w:rsid w:val="0084320F"/>
    <w:rsid w:val="00843217"/>
    <w:rsid w:val="00843FC4"/>
    <w:rsid w:val="00844062"/>
    <w:rsid w:val="008448D3"/>
    <w:rsid w:val="008457F1"/>
    <w:rsid w:val="00853C85"/>
    <w:rsid w:val="008571FF"/>
    <w:rsid w:val="00857DED"/>
    <w:rsid w:val="0086008C"/>
    <w:rsid w:val="00860B3A"/>
    <w:rsid w:val="00864DB9"/>
    <w:rsid w:val="00867F37"/>
    <w:rsid w:val="00871EBB"/>
    <w:rsid w:val="008745E6"/>
    <w:rsid w:val="00877340"/>
    <w:rsid w:val="00882A18"/>
    <w:rsid w:val="008831F2"/>
    <w:rsid w:val="00883A22"/>
    <w:rsid w:val="008846AF"/>
    <w:rsid w:val="00890000"/>
    <w:rsid w:val="0089260A"/>
    <w:rsid w:val="00896FD6"/>
    <w:rsid w:val="008A28A8"/>
    <w:rsid w:val="008A4E1F"/>
    <w:rsid w:val="008A70B2"/>
    <w:rsid w:val="008B21A3"/>
    <w:rsid w:val="008B3477"/>
    <w:rsid w:val="008B7A1D"/>
    <w:rsid w:val="008C20EC"/>
    <w:rsid w:val="008C6E31"/>
    <w:rsid w:val="008D7531"/>
    <w:rsid w:val="008E273D"/>
    <w:rsid w:val="008F3E37"/>
    <w:rsid w:val="008F4987"/>
    <w:rsid w:val="008F49AE"/>
    <w:rsid w:val="00906CEF"/>
    <w:rsid w:val="0091056E"/>
    <w:rsid w:val="00916672"/>
    <w:rsid w:val="00922B23"/>
    <w:rsid w:val="00922CE8"/>
    <w:rsid w:val="00925E9A"/>
    <w:rsid w:val="00926451"/>
    <w:rsid w:val="00926D12"/>
    <w:rsid w:val="00931CA4"/>
    <w:rsid w:val="009332B0"/>
    <w:rsid w:val="00940693"/>
    <w:rsid w:val="009461FA"/>
    <w:rsid w:val="009471D9"/>
    <w:rsid w:val="00947364"/>
    <w:rsid w:val="0096048D"/>
    <w:rsid w:val="00965858"/>
    <w:rsid w:val="00965FF1"/>
    <w:rsid w:val="00971C58"/>
    <w:rsid w:val="009747B6"/>
    <w:rsid w:val="009852CB"/>
    <w:rsid w:val="009856C3"/>
    <w:rsid w:val="00986AB1"/>
    <w:rsid w:val="009939FE"/>
    <w:rsid w:val="009A2F02"/>
    <w:rsid w:val="009A54E3"/>
    <w:rsid w:val="009A67CE"/>
    <w:rsid w:val="009B097F"/>
    <w:rsid w:val="009C3699"/>
    <w:rsid w:val="009C4309"/>
    <w:rsid w:val="009C4409"/>
    <w:rsid w:val="009C799D"/>
    <w:rsid w:val="009D18BA"/>
    <w:rsid w:val="009D1D58"/>
    <w:rsid w:val="009E2126"/>
    <w:rsid w:val="009E3DE1"/>
    <w:rsid w:val="009E7327"/>
    <w:rsid w:val="009F2128"/>
    <w:rsid w:val="009F2969"/>
    <w:rsid w:val="009F2DE9"/>
    <w:rsid w:val="009F3C31"/>
    <w:rsid w:val="009F520D"/>
    <w:rsid w:val="009F776B"/>
    <w:rsid w:val="00A014A8"/>
    <w:rsid w:val="00A04A5B"/>
    <w:rsid w:val="00A07602"/>
    <w:rsid w:val="00A1391F"/>
    <w:rsid w:val="00A17DB8"/>
    <w:rsid w:val="00A2161F"/>
    <w:rsid w:val="00A264D1"/>
    <w:rsid w:val="00A27922"/>
    <w:rsid w:val="00A30446"/>
    <w:rsid w:val="00A31004"/>
    <w:rsid w:val="00A33C0A"/>
    <w:rsid w:val="00A3471E"/>
    <w:rsid w:val="00A37E00"/>
    <w:rsid w:val="00A42768"/>
    <w:rsid w:val="00A42E52"/>
    <w:rsid w:val="00A43611"/>
    <w:rsid w:val="00A44B89"/>
    <w:rsid w:val="00A45123"/>
    <w:rsid w:val="00A476D7"/>
    <w:rsid w:val="00A5222C"/>
    <w:rsid w:val="00A523CB"/>
    <w:rsid w:val="00A5425B"/>
    <w:rsid w:val="00A62182"/>
    <w:rsid w:val="00A64515"/>
    <w:rsid w:val="00A71FEB"/>
    <w:rsid w:val="00A73718"/>
    <w:rsid w:val="00A743B1"/>
    <w:rsid w:val="00A75B44"/>
    <w:rsid w:val="00A76508"/>
    <w:rsid w:val="00A8111F"/>
    <w:rsid w:val="00A82105"/>
    <w:rsid w:val="00A85474"/>
    <w:rsid w:val="00A86CB2"/>
    <w:rsid w:val="00A87AC8"/>
    <w:rsid w:val="00A90C24"/>
    <w:rsid w:val="00A93028"/>
    <w:rsid w:val="00A94169"/>
    <w:rsid w:val="00A94BD8"/>
    <w:rsid w:val="00A94DE4"/>
    <w:rsid w:val="00A95C87"/>
    <w:rsid w:val="00AA1BDF"/>
    <w:rsid w:val="00AA3A52"/>
    <w:rsid w:val="00AA4EE2"/>
    <w:rsid w:val="00AB0B2C"/>
    <w:rsid w:val="00AB5CF6"/>
    <w:rsid w:val="00AC6DDC"/>
    <w:rsid w:val="00AD38B2"/>
    <w:rsid w:val="00AD6503"/>
    <w:rsid w:val="00AD6765"/>
    <w:rsid w:val="00AE47BD"/>
    <w:rsid w:val="00AF1996"/>
    <w:rsid w:val="00AF7733"/>
    <w:rsid w:val="00B049D5"/>
    <w:rsid w:val="00B127DE"/>
    <w:rsid w:val="00B12863"/>
    <w:rsid w:val="00B200DE"/>
    <w:rsid w:val="00B24301"/>
    <w:rsid w:val="00B24E43"/>
    <w:rsid w:val="00B2655F"/>
    <w:rsid w:val="00B309E0"/>
    <w:rsid w:val="00B30DD0"/>
    <w:rsid w:val="00B30E27"/>
    <w:rsid w:val="00B31B4C"/>
    <w:rsid w:val="00B33C6B"/>
    <w:rsid w:val="00B354C4"/>
    <w:rsid w:val="00B36EB8"/>
    <w:rsid w:val="00B400BB"/>
    <w:rsid w:val="00B40AB5"/>
    <w:rsid w:val="00B47497"/>
    <w:rsid w:val="00B50532"/>
    <w:rsid w:val="00B51E0F"/>
    <w:rsid w:val="00B52453"/>
    <w:rsid w:val="00B54B5E"/>
    <w:rsid w:val="00B55B3C"/>
    <w:rsid w:val="00B60E7B"/>
    <w:rsid w:val="00B66672"/>
    <w:rsid w:val="00B728F6"/>
    <w:rsid w:val="00B7298C"/>
    <w:rsid w:val="00B80178"/>
    <w:rsid w:val="00B862F5"/>
    <w:rsid w:val="00B94495"/>
    <w:rsid w:val="00B95E57"/>
    <w:rsid w:val="00B96095"/>
    <w:rsid w:val="00B9668F"/>
    <w:rsid w:val="00BA1556"/>
    <w:rsid w:val="00BA2B9A"/>
    <w:rsid w:val="00BA5711"/>
    <w:rsid w:val="00BA6F43"/>
    <w:rsid w:val="00BA7123"/>
    <w:rsid w:val="00BA7B1A"/>
    <w:rsid w:val="00BB27B8"/>
    <w:rsid w:val="00BC0287"/>
    <w:rsid w:val="00BC2CA9"/>
    <w:rsid w:val="00BC422A"/>
    <w:rsid w:val="00BC46A8"/>
    <w:rsid w:val="00BD344F"/>
    <w:rsid w:val="00BD4986"/>
    <w:rsid w:val="00BD5479"/>
    <w:rsid w:val="00BD79F2"/>
    <w:rsid w:val="00BD7B47"/>
    <w:rsid w:val="00BE28B6"/>
    <w:rsid w:val="00BE4CF4"/>
    <w:rsid w:val="00BE745D"/>
    <w:rsid w:val="00BE7E75"/>
    <w:rsid w:val="00BF25FF"/>
    <w:rsid w:val="00BF387A"/>
    <w:rsid w:val="00BF5FFB"/>
    <w:rsid w:val="00C0091E"/>
    <w:rsid w:val="00C01382"/>
    <w:rsid w:val="00C03E0B"/>
    <w:rsid w:val="00C05A3D"/>
    <w:rsid w:val="00C062C7"/>
    <w:rsid w:val="00C06499"/>
    <w:rsid w:val="00C0692B"/>
    <w:rsid w:val="00C11EBD"/>
    <w:rsid w:val="00C1326E"/>
    <w:rsid w:val="00C176CF"/>
    <w:rsid w:val="00C244D3"/>
    <w:rsid w:val="00C3066D"/>
    <w:rsid w:val="00C315E1"/>
    <w:rsid w:val="00C31BD1"/>
    <w:rsid w:val="00C33520"/>
    <w:rsid w:val="00C35DFA"/>
    <w:rsid w:val="00C42079"/>
    <w:rsid w:val="00C425D1"/>
    <w:rsid w:val="00C437D3"/>
    <w:rsid w:val="00C44673"/>
    <w:rsid w:val="00C46BCE"/>
    <w:rsid w:val="00C46D8D"/>
    <w:rsid w:val="00C46F2A"/>
    <w:rsid w:val="00C54253"/>
    <w:rsid w:val="00C55754"/>
    <w:rsid w:val="00C614A0"/>
    <w:rsid w:val="00C633FB"/>
    <w:rsid w:val="00C73555"/>
    <w:rsid w:val="00C77BC4"/>
    <w:rsid w:val="00C81B7D"/>
    <w:rsid w:val="00C8236A"/>
    <w:rsid w:val="00C878D6"/>
    <w:rsid w:val="00C87E4E"/>
    <w:rsid w:val="00C948A1"/>
    <w:rsid w:val="00C954FF"/>
    <w:rsid w:val="00C95F4A"/>
    <w:rsid w:val="00CA3D96"/>
    <w:rsid w:val="00CB2C84"/>
    <w:rsid w:val="00CB58A3"/>
    <w:rsid w:val="00CB5994"/>
    <w:rsid w:val="00CB61BC"/>
    <w:rsid w:val="00CB6A2E"/>
    <w:rsid w:val="00CC09E4"/>
    <w:rsid w:val="00CC21DA"/>
    <w:rsid w:val="00CC4521"/>
    <w:rsid w:val="00CC5C40"/>
    <w:rsid w:val="00CC6CB4"/>
    <w:rsid w:val="00CD0730"/>
    <w:rsid w:val="00CD0CAF"/>
    <w:rsid w:val="00CD3F50"/>
    <w:rsid w:val="00CD5387"/>
    <w:rsid w:val="00CE01D8"/>
    <w:rsid w:val="00CE6082"/>
    <w:rsid w:val="00CE7164"/>
    <w:rsid w:val="00CF3168"/>
    <w:rsid w:val="00CF70E7"/>
    <w:rsid w:val="00CF7F88"/>
    <w:rsid w:val="00D0367A"/>
    <w:rsid w:val="00D03DD2"/>
    <w:rsid w:val="00D05826"/>
    <w:rsid w:val="00D0632D"/>
    <w:rsid w:val="00D07414"/>
    <w:rsid w:val="00D10D10"/>
    <w:rsid w:val="00D11583"/>
    <w:rsid w:val="00D21155"/>
    <w:rsid w:val="00D233FC"/>
    <w:rsid w:val="00D2655E"/>
    <w:rsid w:val="00D27C9B"/>
    <w:rsid w:val="00D3012C"/>
    <w:rsid w:val="00D3421F"/>
    <w:rsid w:val="00D36C7F"/>
    <w:rsid w:val="00D41128"/>
    <w:rsid w:val="00D42999"/>
    <w:rsid w:val="00D4385C"/>
    <w:rsid w:val="00D44DB9"/>
    <w:rsid w:val="00D46041"/>
    <w:rsid w:val="00D47746"/>
    <w:rsid w:val="00D477AA"/>
    <w:rsid w:val="00D512AC"/>
    <w:rsid w:val="00D52519"/>
    <w:rsid w:val="00D5325D"/>
    <w:rsid w:val="00D5641F"/>
    <w:rsid w:val="00D6111A"/>
    <w:rsid w:val="00D64E02"/>
    <w:rsid w:val="00D70061"/>
    <w:rsid w:val="00D704BD"/>
    <w:rsid w:val="00D74882"/>
    <w:rsid w:val="00D84468"/>
    <w:rsid w:val="00D8683B"/>
    <w:rsid w:val="00D91639"/>
    <w:rsid w:val="00D9439A"/>
    <w:rsid w:val="00DA1AA2"/>
    <w:rsid w:val="00DA2A63"/>
    <w:rsid w:val="00DA3A0C"/>
    <w:rsid w:val="00DA3A7C"/>
    <w:rsid w:val="00DA5473"/>
    <w:rsid w:val="00DA6888"/>
    <w:rsid w:val="00DA73F4"/>
    <w:rsid w:val="00DB264B"/>
    <w:rsid w:val="00DB362D"/>
    <w:rsid w:val="00DB46B1"/>
    <w:rsid w:val="00DC20DE"/>
    <w:rsid w:val="00DC282F"/>
    <w:rsid w:val="00DD0FC4"/>
    <w:rsid w:val="00DD37AF"/>
    <w:rsid w:val="00DD5446"/>
    <w:rsid w:val="00DD6488"/>
    <w:rsid w:val="00DD6B57"/>
    <w:rsid w:val="00DD7996"/>
    <w:rsid w:val="00DD7D7F"/>
    <w:rsid w:val="00DE024C"/>
    <w:rsid w:val="00DE0E08"/>
    <w:rsid w:val="00DE348D"/>
    <w:rsid w:val="00DE398B"/>
    <w:rsid w:val="00DE3BFE"/>
    <w:rsid w:val="00DE483A"/>
    <w:rsid w:val="00DE604D"/>
    <w:rsid w:val="00DF4245"/>
    <w:rsid w:val="00DF4A13"/>
    <w:rsid w:val="00DF4A6C"/>
    <w:rsid w:val="00E012C8"/>
    <w:rsid w:val="00E01434"/>
    <w:rsid w:val="00E02D18"/>
    <w:rsid w:val="00E0319D"/>
    <w:rsid w:val="00E0376C"/>
    <w:rsid w:val="00E07003"/>
    <w:rsid w:val="00E1248F"/>
    <w:rsid w:val="00E13C77"/>
    <w:rsid w:val="00E27740"/>
    <w:rsid w:val="00E32F1E"/>
    <w:rsid w:val="00E378CA"/>
    <w:rsid w:val="00E40720"/>
    <w:rsid w:val="00E446E7"/>
    <w:rsid w:val="00E44947"/>
    <w:rsid w:val="00E44B63"/>
    <w:rsid w:val="00E450FF"/>
    <w:rsid w:val="00E5128B"/>
    <w:rsid w:val="00E60EE7"/>
    <w:rsid w:val="00E624B3"/>
    <w:rsid w:val="00E624CC"/>
    <w:rsid w:val="00E66568"/>
    <w:rsid w:val="00E673CE"/>
    <w:rsid w:val="00E70BBD"/>
    <w:rsid w:val="00E70E96"/>
    <w:rsid w:val="00E72501"/>
    <w:rsid w:val="00E73551"/>
    <w:rsid w:val="00E81B0D"/>
    <w:rsid w:val="00E82A7E"/>
    <w:rsid w:val="00E837DB"/>
    <w:rsid w:val="00E85FF4"/>
    <w:rsid w:val="00E87D1F"/>
    <w:rsid w:val="00E92065"/>
    <w:rsid w:val="00E97C48"/>
    <w:rsid w:val="00EA0935"/>
    <w:rsid w:val="00EA3FEF"/>
    <w:rsid w:val="00EA625A"/>
    <w:rsid w:val="00EB0F39"/>
    <w:rsid w:val="00EB24EC"/>
    <w:rsid w:val="00EB3382"/>
    <w:rsid w:val="00EB5304"/>
    <w:rsid w:val="00EB6497"/>
    <w:rsid w:val="00EC259E"/>
    <w:rsid w:val="00EC267A"/>
    <w:rsid w:val="00EC28E1"/>
    <w:rsid w:val="00EC2F47"/>
    <w:rsid w:val="00ED011B"/>
    <w:rsid w:val="00ED351E"/>
    <w:rsid w:val="00EE02F0"/>
    <w:rsid w:val="00EE2098"/>
    <w:rsid w:val="00EF0861"/>
    <w:rsid w:val="00EF15C5"/>
    <w:rsid w:val="00EF1811"/>
    <w:rsid w:val="00EF2D6E"/>
    <w:rsid w:val="00EF6222"/>
    <w:rsid w:val="00EF6272"/>
    <w:rsid w:val="00EF703D"/>
    <w:rsid w:val="00F02CC5"/>
    <w:rsid w:val="00F05C7F"/>
    <w:rsid w:val="00F12AAB"/>
    <w:rsid w:val="00F13E1C"/>
    <w:rsid w:val="00F13FD6"/>
    <w:rsid w:val="00F16975"/>
    <w:rsid w:val="00F21028"/>
    <w:rsid w:val="00F22353"/>
    <w:rsid w:val="00F22AC2"/>
    <w:rsid w:val="00F27D51"/>
    <w:rsid w:val="00F30BBB"/>
    <w:rsid w:val="00F30C31"/>
    <w:rsid w:val="00F324FC"/>
    <w:rsid w:val="00F36D04"/>
    <w:rsid w:val="00F37F1B"/>
    <w:rsid w:val="00F419F7"/>
    <w:rsid w:val="00F422E9"/>
    <w:rsid w:val="00F50F6A"/>
    <w:rsid w:val="00F51B00"/>
    <w:rsid w:val="00F531B7"/>
    <w:rsid w:val="00F55A90"/>
    <w:rsid w:val="00F565E4"/>
    <w:rsid w:val="00F5698B"/>
    <w:rsid w:val="00F57AA6"/>
    <w:rsid w:val="00F6112B"/>
    <w:rsid w:val="00F613AA"/>
    <w:rsid w:val="00F62288"/>
    <w:rsid w:val="00F6614E"/>
    <w:rsid w:val="00F6673B"/>
    <w:rsid w:val="00F71EFD"/>
    <w:rsid w:val="00F72EBF"/>
    <w:rsid w:val="00F75248"/>
    <w:rsid w:val="00F84099"/>
    <w:rsid w:val="00F8771F"/>
    <w:rsid w:val="00F92F1A"/>
    <w:rsid w:val="00F947F8"/>
    <w:rsid w:val="00FA0F64"/>
    <w:rsid w:val="00FA34F1"/>
    <w:rsid w:val="00FB0F8F"/>
    <w:rsid w:val="00FB596D"/>
    <w:rsid w:val="00FC076C"/>
    <w:rsid w:val="00FC3013"/>
    <w:rsid w:val="00FC58A4"/>
    <w:rsid w:val="00FE0815"/>
    <w:rsid w:val="00FE4716"/>
    <w:rsid w:val="00FF0157"/>
    <w:rsid w:val="00FF0791"/>
    <w:rsid w:val="00FF0A1F"/>
    <w:rsid w:val="00FF0FBB"/>
    <w:rsid w:val="00FF252B"/>
    <w:rsid w:val="00FF2945"/>
    <w:rsid w:val="00FF5906"/>
    <w:rsid w:val="00FF6A01"/>
    <w:rsid w:val="00FF6E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56BB1"/>
  <w15:chartTrackingRefBased/>
  <w15:docId w15:val="{9FE74531-BEDB-4BC9-AB30-689BBDE4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A7B3F"/>
    <w:pPr>
      <w:spacing w:before="120"/>
      <w:jc w:val="both"/>
    </w:pPr>
    <w:rPr>
      <w:rFonts w:ascii="Calibri" w:hAnsi="Calibri"/>
      <w:szCs w:val="24"/>
    </w:rPr>
  </w:style>
  <w:style w:type="paragraph" w:styleId="Titolo1">
    <w:name w:val="heading 1"/>
    <w:basedOn w:val="Normale"/>
    <w:next w:val="Normale"/>
    <w:autoRedefine/>
    <w:qFormat/>
    <w:rsid w:val="003F0BF9"/>
    <w:pPr>
      <w:keepNext/>
      <w:numPr>
        <w:numId w:val="1"/>
      </w:numPr>
      <w:tabs>
        <w:tab w:val="clear" w:pos="432"/>
        <w:tab w:val="num" w:pos="709"/>
      </w:tabs>
      <w:spacing w:after="120"/>
      <w:ind w:left="709" w:hanging="709"/>
      <w:outlineLvl w:val="0"/>
    </w:pPr>
    <w:rPr>
      <w:rFonts w:cs="Arial"/>
      <w:b/>
      <w:bCs/>
      <w:kern w:val="32"/>
      <w:sz w:val="26"/>
      <w:szCs w:val="32"/>
    </w:rPr>
  </w:style>
  <w:style w:type="paragraph" w:styleId="Titolo2">
    <w:name w:val="heading 2"/>
    <w:basedOn w:val="Normale"/>
    <w:next w:val="Normale"/>
    <w:autoRedefine/>
    <w:qFormat/>
    <w:rsid w:val="00DA3A0C"/>
    <w:pPr>
      <w:keepNext/>
      <w:numPr>
        <w:ilvl w:val="1"/>
        <w:numId w:val="1"/>
      </w:numPr>
      <w:tabs>
        <w:tab w:val="clear" w:pos="576"/>
        <w:tab w:val="left" w:pos="709"/>
      </w:tabs>
      <w:spacing w:after="60"/>
      <w:ind w:left="709" w:hanging="718"/>
      <w:jc w:val="left"/>
      <w:outlineLvl w:val="1"/>
    </w:pPr>
    <w:rPr>
      <w:rFonts w:asciiTheme="minorHAnsi" w:hAnsiTheme="minorHAnsi" w:cstheme="minorHAnsi"/>
      <w:b/>
      <w:bCs/>
      <w:iCs/>
      <w:lang w:eastAsia="en-GB"/>
    </w:rPr>
  </w:style>
  <w:style w:type="paragraph" w:styleId="Titolo3">
    <w:name w:val="heading 3"/>
    <w:basedOn w:val="Normale"/>
    <w:next w:val="Normale"/>
    <w:autoRedefine/>
    <w:qFormat/>
    <w:rsid w:val="00424220"/>
    <w:pPr>
      <w:keepNext/>
      <w:numPr>
        <w:ilvl w:val="2"/>
        <w:numId w:val="1"/>
      </w:numPr>
      <w:spacing w:after="160"/>
      <w:outlineLvl w:val="2"/>
    </w:pPr>
    <w:rPr>
      <w:rFonts w:asciiTheme="minorHAnsi" w:hAnsiTheme="minorHAnsi" w:cs="Arial"/>
      <w:b/>
      <w:bCs/>
      <w:iCs/>
      <w:lang w:eastAsia="en-GB"/>
    </w:rPr>
  </w:style>
  <w:style w:type="paragraph" w:styleId="Titolo4">
    <w:name w:val="heading 4"/>
    <w:basedOn w:val="Normale"/>
    <w:next w:val="Normale"/>
    <w:qFormat/>
    <w:rsid w:val="007B596F"/>
    <w:pPr>
      <w:keepNext/>
      <w:numPr>
        <w:ilvl w:val="3"/>
        <w:numId w:val="1"/>
      </w:numPr>
      <w:tabs>
        <w:tab w:val="clear" w:pos="864"/>
        <w:tab w:val="num" w:pos="2410"/>
      </w:tabs>
      <w:spacing w:after="120"/>
      <w:ind w:left="2552" w:hanging="1134"/>
      <w:jc w:val="left"/>
      <w:outlineLvl w:val="3"/>
    </w:pPr>
    <w:rPr>
      <w:bCs/>
      <w:i/>
    </w:rPr>
  </w:style>
  <w:style w:type="paragraph" w:styleId="Titolo5">
    <w:name w:val="heading 5"/>
    <w:basedOn w:val="Normale"/>
    <w:next w:val="Normale"/>
    <w:qFormat/>
    <w:pPr>
      <w:numPr>
        <w:ilvl w:val="4"/>
        <w:numId w:val="1"/>
      </w:numPr>
      <w:spacing w:before="240" w:after="60"/>
      <w:outlineLvl w:val="4"/>
    </w:pPr>
    <w:rPr>
      <w:b/>
      <w:bCs/>
      <w:i/>
      <w:iCs/>
      <w:sz w:val="26"/>
      <w:szCs w:val="26"/>
    </w:rPr>
  </w:style>
  <w:style w:type="paragraph" w:styleId="Titolo6">
    <w:name w:val="heading 6"/>
    <w:basedOn w:val="Normale"/>
    <w:next w:val="Normale"/>
    <w:qFormat/>
    <w:pPr>
      <w:numPr>
        <w:ilvl w:val="5"/>
        <w:numId w:val="1"/>
      </w:numPr>
      <w:spacing w:before="240" w:after="60"/>
      <w:outlineLvl w:val="5"/>
    </w:pPr>
    <w:rPr>
      <w:b/>
      <w:bCs/>
      <w:sz w:val="22"/>
      <w:szCs w:val="22"/>
    </w:rPr>
  </w:style>
  <w:style w:type="paragraph" w:styleId="Titolo7">
    <w:name w:val="heading 7"/>
    <w:basedOn w:val="Normale"/>
    <w:next w:val="Normale"/>
    <w:qFormat/>
    <w:pPr>
      <w:numPr>
        <w:ilvl w:val="6"/>
        <w:numId w:val="1"/>
      </w:numPr>
      <w:spacing w:before="240" w:after="60"/>
      <w:outlineLvl w:val="6"/>
    </w:pPr>
  </w:style>
  <w:style w:type="paragraph" w:styleId="Titolo8">
    <w:name w:val="heading 8"/>
    <w:basedOn w:val="Normale"/>
    <w:next w:val="Normale"/>
    <w:qFormat/>
    <w:pPr>
      <w:numPr>
        <w:ilvl w:val="7"/>
        <w:numId w:val="1"/>
      </w:numPr>
      <w:spacing w:before="240" w:after="60"/>
      <w:outlineLvl w:val="7"/>
    </w:pPr>
    <w:rPr>
      <w:i/>
      <w:iCs/>
    </w:rPr>
  </w:style>
  <w:style w:type="paragraph" w:styleId="Titolo9">
    <w:name w:val="heading 9"/>
    <w:basedOn w:val="Normale"/>
    <w:next w:val="Normale"/>
    <w:qFormat/>
    <w:pPr>
      <w:numPr>
        <w:ilvl w:val="8"/>
        <w:numId w:val="1"/>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Pr>
      <w:rFonts w:ascii="Tahoma" w:hAnsi="Tahoma" w:cs="Tahoma"/>
      <w:sz w:val="16"/>
      <w:szCs w:val="16"/>
    </w:rPr>
  </w:style>
  <w:style w:type="paragraph" w:styleId="Corpotesto">
    <w:name w:val="Body Text"/>
    <w:basedOn w:val="Bodytextbase"/>
    <w:semiHidden/>
    <w:pPr>
      <w:spacing w:before="60"/>
    </w:pPr>
  </w:style>
  <w:style w:type="paragraph" w:customStyle="1" w:styleId="Bodytextbase">
    <w:name w:val="Body text base"/>
    <w:basedOn w:val="Normale"/>
    <w:pPr>
      <w:tabs>
        <w:tab w:val="left" w:pos="360"/>
        <w:tab w:val="left" w:pos="720"/>
        <w:tab w:val="left" w:pos="1080"/>
      </w:tabs>
      <w:spacing w:line="288" w:lineRule="auto"/>
    </w:pPr>
    <w:rPr>
      <w:rFonts w:ascii="Arial" w:eastAsia="Times" w:hAnsi="Arial"/>
      <w:szCs w:val="20"/>
      <w:lang w:val="en-GB" w:eastAsia="en-US"/>
    </w:rPr>
  </w:style>
  <w:style w:type="paragraph" w:styleId="Intestazione">
    <w:name w:val="header"/>
    <w:basedOn w:val="Normale"/>
    <w:semiHidden/>
    <w:pPr>
      <w:tabs>
        <w:tab w:val="left" w:pos="360"/>
        <w:tab w:val="left" w:pos="720"/>
        <w:tab w:val="left" w:pos="1080"/>
      </w:tabs>
      <w:jc w:val="right"/>
    </w:pPr>
    <w:rPr>
      <w:rFonts w:ascii="Arial" w:eastAsia="Times" w:hAnsi="Arial"/>
      <w:color w:val="7E8B7A"/>
      <w:sz w:val="18"/>
      <w:szCs w:val="20"/>
      <w:lang w:val="en-GB" w:eastAsia="en-US"/>
    </w:rPr>
  </w:style>
  <w:style w:type="paragraph" w:styleId="Pidipagina">
    <w:name w:val="footer"/>
    <w:basedOn w:val="Normale"/>
    <w:link w:val="PidipaginaCarattere"/>
    <w:uiPriority w:val="99"/>
    <w:pPr>
      <w:tabs>
        <w:tab w:val="right" w:pos="7920"/>
      </w:tabs>
    </w:pPr>
    <w:rPr>
      <w:rFonts w:ascii="Arial" w:eastAsia="Times" w:hAnsi="Arial"/>
      <w:color w:val="808080"/>
      <w:sz w:val="18"/>
      <w:szCs w:val="20"/>
      <w:lang w:val="en-GB" w:eastAsia="en-US"/>
    </w:rPr>
  </w:style>
  <w:style w:type="paragraph" w:styleId="Testonotaapidipagina">
    <w:name w:val="footnote text"/>
    <w:basedOn w:val="Normale"/>
    <w:semiHidden/>
    <w:pPr>
      <w:ind w:left="170" w:hanging="170"/>
    </w:pPr>
    <w:rPr>
      <w:rFonts w:eastAsia="Times"/>
      <w:szCs w:val="20"/>
      <w:lang w:val="en-GB" w:eastAsia="en-US"/>
    </w:rPr>
  </w:style>
  <w:style w:type="character" w:styleId="Rimandonotaapidipagina">
    <w:name w:val="footnote reference"/>
    <w:semiHidden/>
    <w:rPr>
      <w:vertAlign w:val="superscript"/>
    </w:rPr>
  </w:style>
  <w:style w:type="paragraph" w:customStyle="1" w:styleId="StyleHeading3NotItalic">
    <w:name w:val="Style Heading 3 + Not Italic"/>
    <w:basedOn w:val="Titolo3"/>
    <w:pPr>
      <w:keepLines/>
      <w:numPr>
        <w:ilvl w:val="0"/>
        <w:numId w:val="0"/>
      </w:numPr>
      <w:tabs>
        <w:tab w:val="left" w:pos="360"/>
        <w:tab w:val="num" w:pos="720"/>
        <w:tab w:val="left" w:pos="1080"/>
      </w:tabs>
      <w:spacing w:before="480" w:after="0"/>
      <w:ind w:left="720" w:hanging="720"/>
    </w:pPr>
    <w:rPr>
      <w:rFonts w:cs="Times New Roman"/>
      <w:i/>
      <w:kern w:val="48"/>
      <w:sz w:val="22"/>
      <w:szCs w:val="20"/>
      <w:lang w:val="en-GB" w:eastAsia="en-US"/>
    </w:rPr>
  </w:style>
  <w:style w:type="character" w:customStyle="1" w:styleId="BodytextbaseChar">
    <w:name w:val="Body text base Char"/>
    <w:rPr>
      <w:rFonts w:ascii="Arial" w:eastAsia="Times" w:hAnsi="Arial"/>
      <w:lang w:val="en-GB" w:eastAsia="en-US" w:bidi="ar-SA"/>
    </w:rPr>
  </w:style>
  <w:style w:type="character" w:customStyle="1" w:styleId="CarattereCarattere1">
    <w:name w:val="Carattere Carattere1"/>
    <w:basedOn w:val="BodytextbaseChar"/>
    <w:rPr>
      <w:rFonts w:ascii="Arial" w:eastAsia="Times" w:hAnsi="Arial"/>
      <w:lang w:val="en-GB" w:eastAsia="en-US" w:bidi="ar-SA"/>
    </w:rPr>
  </w:style>
  <w:style w:type="character" w:customStyle="1" w:styleId="CarattereCarattere">
    <w:name w:val="Carattere Carattere"/>
    <w:rPr>
      <w:rFonts w:eastAsia="Times"/>
      <w:lang w:val="en-GB" w:eastAsia="en-US" w:bidi="ar-SA"/>
    </w:rPr>
  </w:style>
  <w:style w:type="paragraph" w:styleId="NormaleWeb">
    <w:name w:val="Normal (Web)"/>
    <w:basedOn w:val="Normale"/>
    <w:semiHidden/>
    <w:pPr>
      <w:spacing w:before="100" w:after="100"/>
    </w:pPr>
    <w:rPr>
      <w:rFonts w:ascii="Arial Unicode MS" w:eastAsia="Arial Unicode MS" w:hAnsi="Arial Unicode MS"/>
      <w:sz w:val="22"/>
      <w:szCs w:val="20"/>
      <w:lang w:val="en-GB" w:eastAsia="en-GB"/>
    </w:rPr>
  </w:style>
  <w:style w:type="paragraph" w:styleId="Sommario1">
    <w:name w:val="toc 1"/>
    <w:basedOn w:val="Normale"/>
    <w:next w:val="Normale"/>
    <w:autoRedefine/>
    <w:uiPriority w:val="39"/>
    <w:rsid w:val="00CD5387"/>
    <w:pPr>
      <w:tabs>
        <w:tab w:val="right" w:leader="dot" w:pos="9628"/>
      </w:tabs>
      <w:ind w:left="567" w:hanging="567"/>
    </w:pPr>
    <w:rPr>
      <w:rFonts w:eastAsia="Times"/>
      <w:b/>
      <w:noProof/>
    </w:rPr>
  </w:style>
  <w:style w:type="paragraph" w:styleId="Sommario2">
    <w:name w:val="toc 2"/>
    <w:basedOn w:val="Normale"/>
    <w:next w:val="Normale"/>
    <w:autoRedefine/>
    <w:uiPriority w:val="39"/>
    <w:pPr>
      <w:tabs>
        <w:tab w:val="left" w:pos="1260"/>
        <w:tab w:val="right" w:leader="dot" w:pos="9628"/>
      </w:tabs>
      <w:spacing w:before="60"/>
      <w:ind w:left="1134" w:hanging="567"/>
    </w:pPr>
  </w:style>
  <w:style w:type="paragraph" w:styleId="Sommario3">
    <w:name w:val="toc 3"/>
    <w:basedOn w:val="Normale"/>
    <w:next w:val="Normale"/>
    <w:autoRedefine/>
    <w:uiPriority w:val="39"/>
    <w:pPr>
      <w:tabs>
        <w:tab w:val="left" w:pos="1440"/>
        <w:tab w:val="right" w:leader="dot" w:pos="9628"/>
      </w:tabs>
      <w:ind w:left="1871" w:hanging="737"/>
    </w:pPr>
  </w:style>
  <w:style w:type="paragraph" w:styleId="Sommario4">
    <w:name w:val="toc 4"/>
    <w:basedOn w:val="Normale"/>
    <w:next w:val="Normale"/>
    <w:autoRedefine/>
    <w:uiPriority w:val="39"/>
    <w:pPr>
      <w:tabs>
        <w:tab w:val="left" w:pos="1680"/>
        <w:tab w:val="right" w:leader="dot" w:pos="9628"/>
      </w:tabs>
      <w:ind w:left="2721" w:hanging="907"/>
    </w:pPr>
  </w:style>
  <w:style w:type="character" w:styleId="Collegamentoipertestuale">
    <w:name w:val="Hyperlink"/>
    <w:uiPriority w:val="99"/>
    <w:rPr>
      <w:color w:val="0000FF"/>
      <w:u w:val="single"/>
    </w:rPr>
  </w:style>
  <w:style w:type="character" w:styleId="Numeropagina">
    <w:name w:val="page number"/>
    <w:basedOn w:val="Carpredefinitoparagrafo"/>
    <w:semiHidden/>
  </w:style>
  <w:style w:type="paragraph" w:styleId="Corpodeltesto2">
    <w:name w:val="Body Text 2"/>
    <w:basedOn w:val="Normale"/>
    <w:semiHidden/>
    <w:rPr>
      <w:color w:val="FF0000"/>
    </w:rPr>
  </w:style>
  <w:style w:type="paragraph" w:customStyle="1" w:styleId="Default">
    <w:name w:val="Default"/>
    <w:rsid w:val="008745E6"/>
    <w:pPr>
      <w:autoSpaceDE w:val="0"/>
      <w:autoSpaceDN w:val="0"/>
      <w:adjustRightInd w:val="0"/>
    </w:pPr>
    <w:rPr>
      <w:color w:val="000000"/>
      <w:sz w:val="24"/>
      <w:szCs w:val="24"/>
    </w:rPr>
  </w:style>
  <w:style w:type="character" w:customStyle="1" w:styleId="PidipaginaCarattere">
    <w:name w:val="Piè di pagina Carattere"/>
    <w:link w:val="Pidipagina"/>
    <w:uiPriority w:val="99"/>
    <w:rsid w:val="0047253D"/>
    <w:rPr>
      <w:rFonts w:ascii="Arial" w:eastAsia="Times" w:hAnsi="Arial"/>
      <w:color w:val="808080"/>
      <w:sz w:val="18"/>
      <w:lang w:val="en-GB" w:eastAsia="en-US"/>
    </w:rPr>
  </w:style>
  <w:style w:type="table" w:styleId="Grigliatabella">
    <w:name w:val="Table Grid"/>
    <w:basedOn w:val="Tabellanormale"/>
    <w:uiPriority w:val="59"/>
    <w:rsid w:val="00531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A71FEB"/>
    <w:rPr>
      <w:sz w:val="24"/>
      <w:szCs w:val="24"/>
    </w:rPr>
  </w:style>
  <w:style w:type="paragraph" w:styleId="Testonormale">
    <w:name w:val="Plain Text"/>
    <w:basedOn w:val="Normale"/>
    <w:link w:val="TestonormaleCarattere"/>
    <w:semiHidden/>
    <w:rsid w:val="00F71EFD"/>
    <w:pPr>
      <w:numPr>
        <w:numId w:val="2"/>
      </w:numPr>
      <w:tabs>
        <w:tab w:val="clear" w:pos="720"/>
      </w:tabs>
      <w:spacing w:line="360" w:lineRule="auto"/>
      <w:ind w:left="0" w:firstLine="709"/>
    </w:pPr>
  </w:style>
  <w:style w:type="character" w:customStyle="1" w:styleId="TestonormaleCarattere">
    <w:name w:val="Testo normale Carattere"/>
    <w:link w:val="Testonormale"/>
    <w:semiHidden/>
    <w:rsid w:val="00F71EFD"/>
    <w:rPr>
      <w:rFonts w:ascii="Calibri" w:hAnsi="Calibri"/>
      <w:szCs w:val="24"/>
    </w:rPr>
  </w:style>
  <w:style w:type="character" w:customStyle="1" w:styleId="ParagrafoelencoCarattere">
    <w:name w:val="Paragrafo elenco Carattere"/>
    <w:aliases w:val="Lettre d'introduction Carattere,List Paragraph1 Carattere,1st level - Bullet List Paragraph Carattere,Medium Grid 1 - Accent 21 Carattere,Normal bullet 2 Carattere,Bullet list Carattere,Numbered List Carattere"/>
    <w:link w:val="Paragrafoelenco"/>
    <w:locked/>
    <w:rsid w:val="002C10AE"/>
    <w:rPr>
      <w:rFonts w:ascii="Calibri" w:hAnsi="Calibri"/>
      <w:sz w:val="24"/>
    </w:rPr>
  </w:style>
  <w:style w:type="paragraph" w:styleId="Paragrafoelenco">
    <w:name w:val="List Paragraph"/>
    <w:aliases w:val="Lettre d'introduction,List Paragraph1,1st level - Bullet List Paragraph,Medium Grid 1 - Accent 21,Normal bullet 2,Bullet list,Numbered List"/>
    <w:basedOn w:val="Normale"/>
    <w:link w:val="ParagrafoelencoCarattere"/>
    <w:qFormat/>
    <w:rsid w:val="002C10AE"/>
    <w:pPr>
      <w:spacing w:after="160" w:line="254" w:lineRule="auto"/>
      <w:ind w:left="720"/>
      <w:contextualSpacing/>
      <w:jc w:val="left"/>
    </w:pPr>
    <w:rPr>
      <w:szCs w:val="20"/>
    </w:rPr>
  </w:style>
  <w:style w:type="paragraph" w:customStyle="1" w:styleId="titoli">
    <w:name w:val="(titoli)"/>
    <w:basedOn w:val="Normale"/>
    <w:next w:val="Normale"/>
    <w:rsid w:val="00C44673"/>
    <w:pPr>
      <w:numPr>
        <w:numId w:val="3"/>
      </w:numPr>
      <w:spacing w:before="480" w:after="120"/>
      <w:jc w:val="center"/>
      <w:outlineLvl w:val="0"/>
    </w:pPr>
    <w:rPr>
      <w:b/>
      <w:smallCaps/>
      <w:szCs w:val="20"/>
    </w:rPr>
  </w:style>
  <w:style w:type="paragraph" w:customStyle="1" w:styleId="elencoarabo">
    <w:name w:val="(elenco arabo)"/>
    <w:basedOn w:val="Normale"/>
    <w:rsid w:val="00C44673"/>
    <w:pPr>
      <w:numPr>
        <w:ilvl w:val="5"/>
        <w:numId w:val="3"/>
      </w:numPr>
      <w:tabs>
        <w:tab w:val="left" w:pos="851"/>
      </w:tabs>
      <w:spacing w:after="120"/>
      <w:contextualSpacing/>
      <w:outlineLvl w:val="5"/>
    </w:pPr>
    <w:rPr>
      <w:szCs w:val="20"/>
    </w:rPr>
  </w:style>
  <w:style w:type="paragraph" w:customStyle="1" w:styleId="elencoromano">
    <w:name w:val="(elenco romano)"/>
    <w:basedOn w:val="Normale"/>
    <w:rsid w:val="00C44673"/>
    <w:pPr>
      <w:numPr>
        <w:ilvl w:val="6"/>
        <w:numId w:val="3"/>
      </w:numPr>
      <w:tabs>
        <w:tab w:val="left" w:pos="1418"/>
      </w:tabs>
      <w:outlineLvl w:val="6"/>
    </w:pPr>
    <w:rPr>
      <w:szCs w:val="20"/>
    </w:rPr>
  </w:style>
  <w:style w:type="paragraph" w:customStyle="1" w:styleId="commi">
    <w:name w:val="(commi)"/>
    <w:basedOn w:val="Normale"/>
    <w:rsid w:val="00C44673"/>
    <w:pPr>
      <w:numPr>
        <w:ilvl w:val="4"/>
        <w:numId w:val="3"/>
      </w:numPr>
      <w:spacing w:after="120"/>
      <w:outlineLvl w:val="4"/>
    </w:pPr>
    <w:rPr>
      <w:szCs w:val="20"/>
    </w:rPr>
  </w:style>
  <w:style w:type="paragraph" w:customStyle="1" w:styleId="capitoli">
    <w:name w:val="(capitoli)"/>
    <w:basedOn w:val="Normale"/>
    <w:next w:val="Normale"/>
    <w:rsid w:val="00C44673"/>
    <w:pPr>
      <w:numPr>
        <w:ilvl w:val="1"/>
        <w:numId w:val="3"/>
      </w:numPr>
      <w:spacing w:after="240"/>
      <w:outlineLvl w:val="1"/>
    </w:pPr>
    <w:rPr>
      <w:b/>
      <w:szCs w:val="20"/>
    </w:rPr>
  </w:style>
  <w:style w:type="paragraph" w:customStyle="1" w:styleId="numarticoli">
    <w:name w:val="(num. articoli)"/>
    <w:basedOn w:val="Normale"/>
    <w:next w:val="nomearticoli"/>
    <w:rsid w:val="00C44673"/>
    <w:pPr>
      <w:keepNext/>
      <w:keepLines/>
      <w:numPr>
        <w:ilvl w:val="2"/>
        <w:numId w:val="3"/>
      </w:numPr>
      <w:spacing w:before="240" w:after="120"/>
      <w:jc w:val="center"/>
      <w:outlineLvl w:val="2"/>
    </w:pPr>
    <w:rPr>
      <w:i/>
      <w:szCs w:val="20"/>
    </w:rPr>
  </w:style>
  <w:style w:type="paragraph" w:customStyle="1" w:styleId="nomearticoli">
    <w:name w:val="(nome articoli)"/>
    <w:basedOn w:val="Normale"/>
    <w:next w:val="commi"/>
    <w:rsid w:val="00C44673"/>
    <w:pPr>
      <w:keepNext/>
      <w:keepLines/>
      <w:numPr>
        <w:ilvl w:val="3"/>
        <w:numId w:val="3"/>
      </w:numPr>
      <w:jc w:val="center"/>
      <w:outlineLvl w:val="3"/>
    </w:pPr>
    <w:rPr>
      <w:i/>
      <w:szCs w:val="20"/>
    </w:rPr>
  </w:style>
  <w:style w:type="paragraph" w:customStyle="1" w:styleId="elenconumeri">
    <w:name w:val="(elenco numeri)"/>
    <w:basedOn w:val="Normale"/>
    <w:rsid w:val="00C44673"/>
    <w:pPr>
      <w:numPr>
        <w:ilvl w:val="7"/>
        <w:numId w:val="3"/>
      </w:numPr>
      <w:tabs>
        <w:tab w:val="left" w:pos="1418"/>
      </w:tabs>
      <w:outlineLvl w:val="7"/>
    </w:pPr>
    <w:rPr>
      <w:szCs w:val="20"/>
    </w:rPr>
  </w:style>
  <w:style w:type="character" w:styleId="Rimandocommento">
    <w:name w:val="annotation reference"/>
    <w:basedOn w:val="Carpredefinitoparagrafo"/>
    <w:uiPriority w:val="99"/>
    <w:semiHidden/>
    <w:unhideWhenUsed/>
    <w:rsid w:val="00D91639"/>
    <w:rPr>
      <w:sz w:val="16"/>
      <w:szCs w:val="16"/>
    </w:rPr>
  </w:style>
  <w:style w:type="paragraph" w:styleId="Testocommento">
    <w:name w:val="annotation text"/>
    <w:basedOn w:val="Normale"/>
    <w:link w:val="TestocommentoCarattere"/>
    <w:uiPriority w:val="99"/>
    <w:semiHidden/>
    <w:unhideWhenUsed/>
    <w:rsid w:val="00D91639"/>
    <w:rPr>
      <w:szCs w:val="20"/>
    </w:rPr>
  </w:style>
  <w:style w:type="character" w:customStyle="1" w:styleId="TestocommentoCarattere">
    <w:name w:val="Testo commento Carattere"/>
    <w:basedOn w:val="Carpredefinitoparagrafo"/>
    <w:link w:val="Testocommento"/>
    <w:uiPriority w:val="99"/>
    <w:semiHidden/>
    <w:rsid w:val="00D91639"/>
  </w:style>
  <w:style w:type="paragraph" w:styleId="Soggettocommento">
    <w:name w:val="annotation subject"/>
    <w:basedOn w:val="Testocommento"/>
    <w:next w:val="Testocommento"/>
    <w:link w:val="SoggettocommentoCarattere"/>
    <w:uiPriority w:val="99"/>
    <w:semiHidden/>
    <w:unhideWhenUsed/>
    <w:rsid w:val="00D91639"/>
    <w:rPr>
      <w:b/>
      <w:bCs/>
    </w:rPr>
  </w:style>
  <w:style w:type="character" w:customStyle="1" w:styleId="SoggettocommentoCarattere">
    <w:name w:val="Soggetto commento Carattere"/>
    <w:basedOn w:val="TestocommentoCarattere"/>
    <w:link w:val="Soggettocommento"/>
    <w:uiPriority w:val="99"/>
    <w:semiHidden/>
    <w:rsid w:val="00D91639"/>
    <w:rPr>
      <w:b/>
      <w:bCs/>
    </w:rPr>
  </w:style>
  <w:style w:type="table" w:styleId="Tabellagriglia1chiara">
    <w:name w:val="Grid Table 1 Light"/>
    <w:basedOn w:val="Tabellanormale"/>
    <w:uiPriority w:val="46"/>
    <w:rsid w:val="00835A8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lagriglia1chiara-colore1">
    <w:name w:val="Grid Table 1 Light Accent 1"/>
    <w:basedOn w:val="Tabellanormale"/>
    <w:uiPriority w:val="46"/>
    <w:rsid w:val="00835A82"/>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lasemplice-1">
    <w:name w:val="Plain Table 1"/>
    <w:basedOn w:val="Tabellanormale"/>
    <w:uiPriority w:val="41"/>
    <w:rsid w:val="00A8210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stosegnaposto">
    <w:name w:val="Placeholder Text"/>
    <w:basedOn w:val="Carpredefinitoparagrafo"/>
    <w:uiPriority w:val="99"/>
    <w:semiHidden/>
    <w:rsid w:val="003928D5"/>
    <w:rPr>
      <w:color w:val="808080"/>
    </w:rPr>
  </w:style>
  <w:style w:type="table" w:styleId="Tabellagriglia1chiara-colore5">
    <w:name w:val="Grid Table 1 Light Accent 5"/>
    <w:basedOn w:val="Tabellanormale"/>
    <w:uiPriority w:val="46"/>
    <w:rsid w:val="003928D5"/>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ellagriglia1chiara-colore11">
    <w:name w:val="Tabella griglia 1 chiara - colore 11"/>
    <w:basedOn w:val="Tabellanormale"/>
    <w:uiPriority w:val="46"/>
    <w:rsid w:val="00A264D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Didascalia">
    <w:name w:val="caption"/>
    <w:basedOn w:val="Normale"/>
    <w:next w:val="Normale"/>
    <w:uiPriority w:val="35"/>
    <w:unhideWhenUsed/>
    <w:qFormat/>
    <w:rsid w:val="00E44947"/>
    <w:pPr>
      <w:keepNext/>
      <w:spacing w:after="200"/>
    </w:pPr>
    <w:rPr>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09054">
      <w:bodyDiv w:val="1"/>
      <w:marLeft w:val="0"/>
      <w:marRight w:val="0"/>
      <w:marTop w:val="0"/>
      <w:marBottom w:val="0"/>
      <w:divBdr>
        <w:top w:val="none" w:sz="0" w:space="0" w:color="auto"/>
        <w:left w:val="none" w:sz="0" w:space="0" w:color="auto"/>
        <w:bottom w:val="none" w:sz="0" w:space="0" w:color="auto"/>
        <w:right w:val="none" w:sz="0" w:space="0" w:color="auto"/>
      </w:divBdr>
    </w:div>
    <w:div w:id="198710100">
      <w:bodyDiv w:val="1"/>
      <w:marLeft w:val="0"/>
      <w:marRight w:val="0"/>
      <w:marTop w:val="0"/>
      <w:marBottom w:val="0"/>
      <w:divBdr>
        <w:top w:val="none" w:sz="0" w:space="0" w:color="auto"/>
        <w:left w:val="none" w:sz="0" w:space="0" w:color="auto"/>
        <w:bottom w:val="none" w:sz="0" w:space="0" w:color="auto"/>
        <w:right w:val="none" w:sz="0" w:space="0" w:color="auto"/>
      </w:divBdr>
    </w:div>
    <w:div w:id="227499983">
      <w:bodyDiv w:val="1"/>
      <w:marLeft w:val="0"/>
      <w:marRight w:val="0"/>
      <w:marTop w:val="0"/>
      <w:marBottom w:val="0"/>
      <w:divBdr>
        <w:top w:val="none" w:sz="0" w:space="0" w:color="auto"/>
        <w:left w:val="none" w:sz="0" w:space="0" w:color="auto"/>
        <w:bottom w:val="none" w:sz="0" w:space="0" w:color="auto"/>
        <w:right w:val="none" w:sz="0" w:space="0" w:color="auto"/>
      </w:divBdr>
    </w:div>
    <w:div w:id="274678022">
      <w:bodyDiv w:val="1"/>
      <w:marLeft w:val="0"/>
      <w:marRight w:val="0"/>
      <w:marTop w:val="0"/>
      <w:marBottom w:val="0"/>
      <w:divBdr>
        <w:top w:val="none" w:sz="0" w:space="0" w:color="auto"/>
        <w:left w:val="none" w:sz="0" w:space="0" w:color="auto"/>
        <w:bottom w:val="none" w:sz="0" w:space="0" w:color="auto"/>
        <w:right w:val="none" w:sz="0" w:space="0" w:color="auto"/>
      </w:divBdr>
    </w:div>
    <w:div w:id="305471207">
      <w:bodyDiv w:val="1"/>
      <w:marLeft w:val="0"/>
      <w:marRight w:val="0"/>
      <w:marTop w:val="0"/>
      <w:marBottom w:val="0"/>
      <w:divBdr>
        <w:top w:val="none" w:sz="0" w:space="0" w:color="auto"/>
        <w:left w:val="none" w:sz="0" w:space="0" w:color="auto"/>
        <w:bottom w:val="none" w:sz="0" w:space="0" w:color="auto"/>
        <w:right w:val="none" w:sz="0" w:space="0" w:color="auto"/>
      </w:divBdr>
    </w:div>
    <w:div w:id="432359099">
      <w:bodyDiv w:val="1"/>
      <w:marLeft w:val="0"/>
      <w:marRight w:val="0"/>
      <w:marTop w:val="0"/>
      <w:marBottom w:val="0"/>
      <w:divBdr>
        <w:top w:val="none" w:sz="0" w:space="0" w:color="auto"/>
        <w:left w:val="none" w:sz="0" w:space="0" w:color="auto"/>
        <w:bottom w:val="none" w:sz="0" w:space="0" w:color="auto"/>
        <w:right w:val="none" w:sz="0" w:space="0" w:color="auto"/>
      </w:divBdr>
    </w:div>
    <w:div w:id="465319704">
      <w:bodyDiv w:val="1"/>
      <w:marLeft w:val="0"/>
      <w:marRight w:val="0"/>
      <w:marTop w:val="0"/>
      <w:marBottom w:val="0"/>
      <w:divBdr>
        <w:top w:val="none" w:sz="0" w:space="0" w:color="auto"/>
        <w:left w:val="none" w:sz="0" w:space="0" w:color="auto"/>
        <w:bottom w:val="none" w:sz="0" w:space="0" w:color="auto"/>
        <w:right w:val="none" w:sz="0" w:space="0" w:color="auto"/>
      </w:divBdr>
    </w:div>
    <w:div w:id="581992206">
      <w:bodyDiv w:val="1"/>
      <w:marLeft w:val="0"/>
      <w:marRight w:val="0"/>
      <w:marTop w:val="0"/>
      <w:marBottom w:val="0"/>
      <w:divBdr>
        <w:top w:val="none" w:sz="0" w:space="0" w:color="auto"/>
        <w:left w:val="none" w:sz="0" w:space="0" w:color="auto"/>
        <w:bottom w:val="none" w:sz="0" w:space="0" w:color="auto"/>
        <w:right w:val="none" w:sz="0" w:space="0" w:color="auto"/>
      </w:divBdr>
    </w:div>
    <w:div w:id="625240673">
      <w:bodyDiv w:val="1"/>
      <w:marLeft w:val="0"/>
      <w:marRight w:val="0"/>
      <w:marTop w:val="0"/>
      <w:marBottom w:val="0"/>
      <w:divBdr>
        <w:top w:val="none" w:sz="0" w:space="0" w:color="auto"/>
        <w:left w:val="none" w:sz="0" w:space="0" w:color="auto"/>
        <w:bottom w:val="none" w:sz="0" w:space="0" w:color="auto"/>
        <w:right w:val="none" w:sz="0" w:space="0" w:color="auto"/>
      </w:divBdr>
    </w:div>
    <w:div w:id="666438628">
      <w:bodyDiv w:val="1"/>
      <w:marLeft w:val="0"/>
      <w:marRight w:val="0"/>
      <w:marTop w:val="0"/>
      <w:marBottom w:val="0"/>
      <w:divBdr>
        <w:top w:val="none" w:sz="0" w:space="0" w:color="auto"/>
        <w:left w:val="none" w:sz="0" w:space="0" w:color="auto"/>
        <w:bottom w:val="none" w:sz="0" w:space="0" w:color="auto"/>
        <w:right w:val="none" w:sz="0" w:space="0" w:color="auto"/>
      </w:divBdr>
    </w:div>
    <w:div w:id="697972782">
      <w:bodyDiv w:val="1"/>
      <w:marLeft w:val="0"/>
      <w:marRight w:val="0"/>
      <w:marTop w:val="0"/>
      <w:marBottom w:val="0"/>
      <w:divBdr>
        <w:top w:val="none" w:sz="0" w:space="0" w:color="auto"/>
        <w:left w:val="none" w:sz="0" w:space="0" w:color="auto"/>
        <w:bottom w:val="none" w:sz="0" w:space="0" w:color="auto"/>
        <w:right w:val="none" w:sz="0" w:space="0" w:color="auto"/>
      </w:divBdr>
    </w:div>
    <w:div w:id="719861858">
      <w:bodyDiv w:val="1"/>
      <w:marLeft w:val="0"/>
      <w:marRight w:val="0"/>
      <w:marTop w:val="0"/>
      <w:marBottom w:val="0"/>
      <w:divBdr>
        <w:top w:val="none" w:sz="0" w:space="0" w:color="auto"/>
        <w:left w:val="none" w:sz="0" w:space="0" w:color="auto"/>
        <w:bottom w:val="none" w:sz="0" w:space="0" w:color="auto"/>
        <w:right w:val="none" w:sz="0" w:space="0" w:color="auto"/>
      </w:divBdr>
    </w:div>
    <w:div w:id="735205075">
      <w:bodyDiv w:val="1"/>
      <w:marLeft w:val="0"/>
      <w:marRight w:val="0"/>
      <w:marTop w:val="0"/>
      <w:marBottom w:val="0"/>
      <w:divBdr>
        <w:top w:val="none" w:sz="0" w:space="0" w:color="auto"/>
        <w:left w:val="none" w:sz="0" w:space="0" w:color="auto"/>
        <w:bottom w:val="none" w:sz="0" w:space="0" w:color="auto"/>
        <w:right w:val="none" w:sz="0" w:space="0" w:color="auto"/>
      </w:divBdr>
    </w:div>
    <w:div w:id="767819824">
      <w:bodyDiv w:val="1"/>
      <w:marLeft w:val="0"/>
      <w:marRight w:val="0"/>
      <w:marTop w:val="0"/>
      <w:marBottom w:val="0"/>
      <w:divBdr>
        <w:top w:val="none" w:sz="0" w:space="0" w:color="auto"/>
        <w:left w:val="none" w:sz="0" w:space="0" w:color="auto"/>
        <w:bottom w:val="none" w:sz="0" w:space="0" w:color="auto"/>
        <w:right w:val="none" w:sz="0" w:space="0" w:color="auto"/>
      </w:divBdr>
    </w:div>
    <w:div w:id="934485805">
      <w:bodyDiv w:val="1"/>
      <w:marLeft w:val="0"/>
      <w:marRight w:val="0"/>
      <w:marTop w:val="0"/>
      <w:marBottom w:val="0"/>
      <w:divBdr>
        <w:top w:val="none" w:sz="0" w:space="0" w:color="auto"/>
        <w:left w:val="none" w:sz="0" w:space="0" w:color="auto"/>
        <w:bottom w:val="none" w:sz="0" w:space="0" w:color="auto"/>
        <w:right w:val="none" w:sz="0" w:space="0" w:color="auto"/>
      </w:divBdr>
    </w:div>
    <w:div w:id="1010639856">
      <w:bodyDiv w:val="1"/>
      <w:marLeft w:val="0"/>
      <w:marRight w:val="0"/>
      <w:marTop w:val="0"/>
      <w:marBottom w:val="0"/>
      <w:divBdr>
        <w:top w:val="none" w:sz="0" w:space="0" w:color="auto"/>
        <w:left w:val="none" w:sz="0" w:space="0" w:color="auto"/>
        <w:bottom w:val="none" w:sz="0" w:space="0" w:color="auto"/>
        <w:right w:val="none" w:sz="0" w:space="0" w:color="auto"/>
      </w:divBdr>
    </w:div>
    <w:div w:id="1069839543">
      <w:bodyDiv w:val="1"/>
      <w:marLeft w:val="0"/>
      <w:marRight w:val="0"/>
      <w:marTop w:val="0"/>
      <w:marBottom w:val="0"/>
      <w:divBdr>
        <w:top w:val="none" w:sz="0" w:space="0" w:color="auto"/>
        <w:left w:val="none" w:sz="0" w:space="0" w:color="auto"/>
        <w:bottom w:val="none" w:sz="0" w:space="0" w:color="auto"/>
        <w:right w:val="none" w:sz="0" w:space="0" w:color="auto"/>
      </w:divBdr>
    </w:div>
    <w:div w:id="1145590249">
      <w:bodyDiv w:val="1"/>
      <w:marLeft w:val="0"/>
      <w:marRight w:val="0"/>
      <w:marTop w:val="0"/>
      <w:marBottom w:val="0"/>
      <w:divBdr>
        <w:top w:val="none" w:sz="0" w:space="0" w:color="auto"/>
        <w:left w:val="none" w:sz="0" w:space="0" w:color="auto"/>
        <w:bottom w:val="none" w:sz="0" w:space="0" w:color="auto"/>
        <w:right w:val="none" w:sz="0" w:space="0" w:color="auto"/>
      </w:divBdr>
    </w:div>
    <w:div w:id="1251236640">
      <w:bodyDiv w:val="1"/>
      <w:marLeft w:val="0"/>
      <w:marRight w:val="0"/>
      <w:marTop w:val="0"/>
      <w:marBottom w:val="0"/>
      <w:divBdr>
        <w:top w:val="none" w:sz="0" w:space="0" w:color="auto"/>
        <w:left w:val="none" w:sz="0" w:space="0" w:color="auto"/>
        <w:bottom w:val="none" w:sz="0" w:space="0" w:color="auto"/>
        <w:right w:val="none" w:sz="0" w:space="0" w:color="auto"/>
      </w:divBdr>
    </w:div>
    <w:div w:id="1305085117">
      <w:bodyDiv w:val="1"/>
      <w:marLeft w:val="0"/>
      <w:marRight w:val="0"/>
      <w:marTop w:val="0"/>
      <w:marBottom w:val="0"/>
      <w:divBdr>
        <w:top w:val="none" w:sz="0" w:space="0" w:color="auto"/>
        <w:left w:val="none" w:sz="0" w:space="0" w:color="auto"/>
        <w:bottom w:val="none" w:sz="0" w:space="0" w:color="auto"/>
        <w:right w:val="none" w:sz="0" w:space="0" w:color="auto"/>
      </w:divBdr>
    </w:div>
    <w:div w:id="1316185637">
      <w:bodyDiv w:val="1"/>
      <w:marLeft w:val="0"/>
      <w:marRight w:val="0"/>
      <w:marTop w:val="0"/>
      <w:marBottom w:val="0"/>
      <w:divBdr>
        <w:top w:val="none" w:sz="0" w:space="0" w:color="auto"/>
        <w:left w:val="none" w:sz="0" w:space="0" w:color="auto"/>
        <w:bottom w:val="none" w:sz="0" w:space="0" w:color="auto"/>
        <w:right w:val="none" w:sz="0" w:space="0" w:color="auto"/>
      </w:divBdr>
    </w:div>
    <w:div w:id="1503471146">
      <w:bodyDiv w:val="1"/>
      <w:marLeft w:val="0"/>
      <w:marRight w:val="0"/>
      <w:marTop w:val="0"/>
      <w:marBottom w:val="0"/>
      <w:divBdr>
        <w:top w:val="none" w:sz="0" w:space="0" w:color="auto"/>
        <w:left w:val="none" w:sz="0" w:space="0" w:color="auto"/>
        <w:bottom w:val="none" w:sz="0" w:space="0" w:color="auto"/>
        <w:right w:val="none" w:sz="0" w:space="0" w:color="auto"/>
      </w:divBdr>
    </w:div>
    <w:div w:id="1667898018">
      <w:bodyDiv w:val="1"/>
      <w:marLeft w:val="0"/>
      <w:marRight w:val="0"/>
      <w:marTop w:val="0"/>
      <w:marBottom w:val="0"/>
      <w:divBdr>
        <w:top w:val="none" w:sz="0" w:space="0" w:color="auto"/>
        <w:left w:val="none" w:sz="0" w:space="0" w:color="auto"/>
        <w:bottom w:val="none" w:sz="0" w:space="0" w:color="auto"/>
        <w:right w:val="none" w:sz="0" w:space="0" w:color="auto"/>
      </w:divBdr>
    </w:div>
    <w:div w:id="1881897394">
      <w:bodyDiv w:val="1"/>
      <w:marLeft w:val="0"/>
      <w:marRight w:val="0"/>
      <w:marTop w:val="0"/>
      <w:marBottom w:val="0"/>
      <w:divBdr>
        <w:top w:val="none" w:sz="0" w:space="0" w:color="auto"/>
        <w:left w:val="none" w:sz="0" w:space="0" w:color="auto"/>
        <w:bottom w:val="none" w:sz="0" w:space="0" w:color="auto"/>
        <w:right w:val="none" w:sz="0" w:space="0" w:color="auto"/>
      </w:divBdr>
    </w:div>
    <w:div w:id="2036806665">
      <w:bodyDiv w:val="1"/>
      <w:marLeft w:val="0"/>
      <w:marRight w:val="0"/>
      <w:marTop w:val="0"/>
      <w:marBottom w:val="0"/>
      <w:divBdr>
        <w:top w:val="none" w:sz="0" w:space="0" w:color="auto"/>
        <w:left w:val="none" w:sz="0" w:space="0" w:color="auto"/>
        <w:bottom w:val="none" w:sz="0" w:space="0" w:color="auto"/>
        <w:right w:val="none" w:sz="0" w:space="0" w:color="auto"/>
      </w:divBdr>
    </w:div>
    <w:div w:id="2065907694">
      <w:bodyDiv w:val="1"/>
      <w:marLeft w:val="0"/>
      <w:marRight w:val="0"/>
      <w:marTop w:val="0"/>
      <w:marBottom w:val="0"/>
      <w:divBdr>
        <w:top w:val="none" w:sz="0" w:space="0" w:color="auto"/>
        <w:left w:val="none" w:sz="0" w:space="0" w:color="auto"/>
        <w:bottom w:val="none" w:sz="0" w:space="0" w:color="auto"/>
        <w:right w:val="none" w:sz="0" w:space="0" w:color="auto"/>
      </w:divBdr>
    </w:div>
    <w:div w:id="20782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9.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image" Target="media/image11.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0DDCC-C40B-4BC6-AB2A-3EFF4888E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3993</Words>
  <Characters>27214</Characters>
  <Application>Microsoft Office Word</Application>
  <DocSecurity>0</DocSecurity>
  <Lines>226</Lines>
  <Paragraphs>62</Paragraphs>
  <ScaleCrop>false</ScaleCrop>
  <HeadingPairs>
    <vt:vector size="2" baseType="variant">
      <vt:variant>
        <vt:lpstr>Titolo</vt:lpstr>
      </vt:variant>
      <vt:variant>
        <vt:i4>1</vt:i4>
      </vt:variant>
    </vt:vector>
  </HeadingPairs>
  <TitlesOfParts>
    <vt:vector size="1" baseType="lpstr">
      <vt:lpstr>Il punto di partenza</vt:lpstr>
    </vt:vector>
  </TitlesOfParts>
  <Company>.</Company>
  <LinksUpToDate>false</LinksUpToDate>
  <CharactersWithSpaces>31145</CharactersWithSpaces>
  <SharedDoc>false</SharedDoc>
  <HLinks>
    <vt:vector size="204" baseType="variant">
      <vt:variant>
        <vt:i4>1835060</vt:i4>
      </vt:variant>
      <vt:variant>
        <vt:i4>200</vt:i4>
      </vt:variant>
      <vt:variant>
        <vt:i4>0</vt:i4>
      </vt:variant>
      <vt:variant>
        <vt:i4>5</vt:i4>
      </vt:variant>
      <vt:variant>
        <vt:lpwstr/>
      </vt:variant>
      <vt:variant>
        <vt:lpwstr>_Toc381700649</vt:lpwstr>
      </vt:variant>
      <vt:variant>
        <vt:i4>1835060</vt:i4>
      </vt:variant>
      <vt:variant>
        <vt:i4>194</vt:i4>
      </vt:variant>
      <vt:variant>
        <vt:i4>0</vt:i4>
      </vt:variant>
      <vt:variant>
        <vt:i4>5</vt:i4>
      </vt:variant>
      <vt:variant>
        <vt:lpwstr/>
      </vt:variant>
      <vt:variant>
        <vt:lpwstr>_Toc381700648</vt:lpwstr>
      </vt:variant>
      <vt:variant>
        <vt:i4>1835060</vt:i4>
      </vt:variant>
      <vt:variant>
        <vt:i4>188</vt:i4>
      </vt:variant>
      <vt:variant>
        <vt:i4>0</vt:i4>
      </vt:variant>
      <vt:variant>
        <vt:i4>5</vt:i4>
      </vt:variant>
      <vt:variant>
        <vt:lpwstr/>
      </vt:variant>
      <vt:variant>
        <vt:lpwstr>_Toc381700647</vt:lpwstr>
      </vt:variant>
      <vt:variant>
        <vt:i4>1835060</vt:i4>
      </vt:variant>
      <vt:variant>
        <vt:i4>182</vt:i4>
      </vt:variant>
      <vt:variant>
        <vt:i4>0</vt:i4>
      </vt:variant>
      <vt:variant>
        <vt:i4>5</vt:i4>
      </vt:variant>
      <vt:variant>
        <vt:lpwstr/>
      </vt:variant>
      <vt:variant>
        <vt:lpwstr>_Toc381700646</vt:lpwstr>
      </vt:variant>
      <vt:variant>
        <vt:i4>1835060</vt:i4>
      </vt:variant>
      <vt:variant>
        <vt:i4>176</vt:i4>
      </vt:variant>
      <vt:variant>
        <vt:i4>0</vt:i4>
      </vt:variant>
      <vt:variant>
        <vt:i4>5</vt:i4>
      </vt:variant>
      <vt:variant>
        <vt:lpwstr/>
      </vt:variant>
      <vt:variant>
        <vt:lpwstr>_Toc381700645</vt:lpwstr>
      </vt:variant>
      <vt:variant>
        <vt:i4>1835060</vt:i4>
      </vt:variant>
      <vt:variant>
        <vt:i4>170</vt:i4>
      </vt:variant>
      <vt:variant>
        <vt:i4>0</vt:i4>
      </vt:variant>
      <vt:variant>
        <vt:i4>5</vt:i4>
      </vt:variant>
      <vt:variant>
        <vt:lpwstr/>
      </vt:variant>
      <vt:variant>
        <vt:lpwstr>_Toc381700644</vt:lpwstr>
      </vt:variant>
      <vt:variant>
        <vt:i4>1835060</vt:i4>
      </vt:variant>
      <vt:variant>
        <vt:i4>164</vt:i4>
      </vt:variant>
      <vt:variant>
        <vt:i4>0</vt:i4>
      </vt:variant>
      <vt:variant>
        <vt:i4>5</vt:i4>
      </vt:variant>
      <vt:variant>
        <vt:lpwstr/>
      </vt:variant>
      <vt:variant>
        <vt:lpwstr>_Toc381700643</vt:lpwstr>
      </vt:variant>
      <vt:variant>
        <vt:i4>1835060</vt:i4>
      </vt:variant>
      <vt:variant>
        <vt:i4>158</vt:i4>
      </vt:variant>
      <vt:variant>
        <vt:i4>0</vt:i4>
      </vt:variant>
      <vt:variant>
        <vt:i4>5</vt:i4>
      </vt:variant>
      <vt:variant>
        <vt:lpwstr/>
      </vt:variant>
      <vt:variant>
        <vt:lpwstr>_Toc381700642</vt:lpwstr>
      </vt:variant>
      <vt:variant>
        <vt:i4>1835060</vt:i4>
      </vt:variant>
      <vt:variant>
        <vt:i4>152</vt:i4>
      </vt:variant>
      <vt:variant>
        <vt:i4>0</vt:i4>
      </vt:variant>
      <vt:variant>
        <vt:i4>5</vt:i4>
      </vt:variant>
      <vt:variant>
        <vt:lpwstr/>
      </vt:variant>
      <vt:variant>
        <vt:lpwstr>_Toc381700641</vt:lpwstr>
      </vt:variant>
      <vt:variant>
        <vt:i4>1835060</vt:i4>
      </vt:variant>
      <vt:variant>
        <vt:i4>146</vt:i4>
      </vt:variant>
      <vt:variant>
        <vt:i4>0</vt:i4>
      </vt:variant>
      <vt:variant>
        <vt:i4>5</vt:i4>
      </vt:variant>
      <vt:variant>
        <vt:lpwstr/>
      </vt:variant>
      <vt:variant>
        <vt:lpwstr>_Toc381700640</vt:lpwstr>
      </vt:variant>
      <vt:variant>
        <vt:i4>1769524</vt:i4>
      </vt:variant>
      <vt:variant>
        <vt:i4>140</vt:i4>
      </vt:variant>
      <vt:variant>
        <vt:i4>0</vt:i4>
      </vt:variant>
      <vt:variant>
        <vt:i4>5</vt:i4>
      </vt:variant>
      <vt:variant>
        <vt:lpwstr/>
      </vt:variant>
      <vt:variant>
        <vt:lpwstr>_Toc381700639</vt:lpwstr>
      </vt:variant>
      <vt:variant>
        <vt:i4>1769524</vt:i4>
      </vt:variant>
      <vt:variant>
        <vt:i4>134</vt:i4>
      </vt:variant>
      <vt:variant>
        <vt:i4>0</vt:i4>
      </vt:variant>
      <vt:variant>
        <vt:i4>5</vt:i4>
      </vt:variant>
      <vt:variant>
        <vt:lpwstr/>
      </vt:variant>
      <vt:variant>
        <vt:lpwstr>_Toc381700638</vt:lpwstr>
      </vt:variant>
      <vt:variant>
        <vt:i4>1769524</vt:i4>
      </vt:variant>
      <vt:variant>
        <vt:i4>128</vt:i4>
      </vt:variant>
      <vt:variant>
        <vt:i4>0</vt:i4>
      </vt:variant>
      <vt:variant>
        <vt:i4>5</vt:i4>
      </vt:variant>
      <vt:variant>
        <vt:lpwstr/>
      </vt:variant>
      <vt:variant>
        <vt:lpwstr>_Toc381700637</vt:lpwstr>
      </vt:variant>
      <vt:variant>
        <vt:i4>1769524</vt:i4>
      </vt:variant>
      <vt:variant>
        <vt:i4>122</vt:i4>
      </vt:variant>
      <vt:variant>
        <vt:i4>0</vt:i4>
      </vt:variant>
      <vt:variant>
        <vt:i4>5</vt:i4>
      </vt:variant>
      <vt:variant>
        <vt:lpwstr/>
      </vt:variant>
      <vt:variant>
        <vt:lpwstr>_Toc381700636</vt:lpwstr>
      </vt:variant>
      <vt:variant>
        <vt:i4>1769524</vt:i4>
      </vt:variant>
      <vt:variant>
        <vt:i4>116</vt:i4>
      </vt:variant>
      <vt:variant>
        <vt:i4>0</vt:i4>
      </vt:variant>
      <vt:variant>
        <vt:i4>5</vt:i4>
      </vt:variant>
      <vt:variant>
        <vt:lpwstr/>
      </vt:variant>
      <vt:variant>
        <vt:lpwstr>_Toc381700635</vt:lpwstr>
      </vt:variant>
      <vt:variant>
        <vt:i4>1769524</vt:i4>
      </vt:variant>
      <vt:variant>
        <vt:i4>110</vt:i4>
      </vt:variant>
      <vt:variant>
        <vt:i4>0</vt:i4>
      </vt:variant>
      <vt:variant>
        <vt:i4>5</vt:i4>
      </vt:variant>
      <vt:variant>
        <vt:lpwstr/>
      </vt:variant>
      <vt:variant>
        <vt:lpwstr>_Toc381700634</vt:lpwstr>
      </vt:variant>
      <vt:variant>
        <vt:i4>1769524</vt:i4>
      </vt:variant>
      <vt:variant>
        <vt:i4>104</vt:i4>
      </vt:variant>
      <vt:variant>
        <vt:i4>0</vt:i4>
      </vt:variant>
      <vt:variant>
        <vt:i4>5</vt:i4>
      </vt:variant>
      <vt:variant>
        <vt:lpwstr/>
      </vt:variant>
      <vt:variant>
        <vt:lpwstr>_Toc381700633</vt:lpwstr>
      </vt:variant>
      <vt:variant>
        <vt:i4>1769524</vt:i4>
      </vt:variant>
      <vt:variant>
        <vt:i4>98</vt:i4>
      </vt:variant>
      <vt:variant>
        <vt:i4>0</vt:i4>
      </vt:variant>
      <vt:variant>
        <vt:i4>5</vt:i4>
      </vt:variant>
      <vt:variant>
        <vt:lpwstr/>
      </vt:variant>
      <vt:variant>
        <vt:lpwstr>_Toc381700632</vt:lpwstr>
      </vt:variant>
      <vt:variant>
        <vt:i4>1769524</vt:i4>
      </vt:variant>
      <vt:variant>
        <vt:i4>92</vt:i4>
      </vt:variant>
      <vt:variant>
        <vt:i4>0</vt:i4>
      </vt:variant>
      <vt:variant>
        <vt:i4>5</vt:i4>
      </vt:variant>
      <vt:variant>
        <vt:lpwstr/>
      </vt:variant>
      <vt:variant>
        <vt:lpwstr>_Toc381700631</vt:lpwstr>
      </vt:variant>
      <vt:variant>
        <vt:i4>1769524</vt:i4>
      </vt:variant>
      <vt:variant>
        <vt:i4>86</vt:i4>
      </vt:variant>
      <vt:variant>
        <vt:i4>0</vt:i4>
      </vt:variant>
      <vt:variant>
        <vt:i4>5</vt:i4>
      </vt:variant>
      <vt:variant>
        <vt:lpwstr/>
      </vt:variant>
      <vt:variant>
        <vt:lpwstr>_Toc381700630</vt:lpwstr>
      </vt:variant>
      <vt:variant>
        <vt:i4>1703988</vt:i4>
      </vt:variant>
      <vt:variant>
        <vt:i4>80</vt:i4>
      </vt:variant>
      <vt:variant>
        <vt:i4>0</vt:i4>
      </vt:variant>
      <vt:variant>
        <vt:i4>5</vt:i4>
      </vt:variant>
      <vt:variant>
        <vt:lpwstr/>
      </vt:variant>
      <vt:variant>
        <vt:lpwstr>_Toc381700629</vt:lpwstr>
      </vt:variant>
      <vt:variant>
        <vt:i4>1703988</vt:i4>
      </vt:variant>
      <vt:variant>
        <vt:i4>74</vt:i4>
      </vt:variant>
      <vt:variant>
        <vt:i4>0</vt:i4>
      </vt:variant>
      <vt:variant>
        <vt:i4>5</vt:i4>
      </vt:variant>
      <vt:variant>
        <vt:lpwstr/>
      </vt:variant>
      <vt:variant>
        <vt:lpwstr>_Toc381700628</vt:lpwstr>
      </vt:variant>
      <vt:variant>
        <vt:i4>1703988</vt:i4>
      </vt:variant>
      <vt:variant>
        <vt:i4>68</vt:i4>
      </vt:variant>
      <vt:variant>
        <vt:i4>0</vt:i4>
      </vt:variant>
      <vt:variant>
        <vt:i4>5</vt:i4>
      </vt:variant>
      <vt:variant>
        <vt:lpwstr/>
      </vt:variant>
      <vt:variant>
        <vt:lpwstr>_Toc381700627</vt:lpwstr>
      </vt:variant>
      <vt:variant>
        <vt:i4>1703988</vt:i4>
      </vt:variant>
      <vt:variant>
        <vt:i4>62</vt:i4>
      </vt:variant>
      <vt:variant>
        <vt:i4>0</vt:i4>
      </vt:variant>
      <vt:variant>
        <vt:i4>5</vt:i4>
      </vt:variant>
      <vt:variant>
        <vt:lpwstr/>
      </vt:variant>
      <vt:variant>
        <vt:lpwstr>_Toc381700626</vt:lpwstr>
      </vt:variant>
      <vt:variant>
        <vt:i4>1703988</vt:i4>
      </vt:variant>
      <vt:variant>
        <vt:i4>56</vt:i4>
      </vt:variant>
      <vt:variant>
        <vt:i4>0</vt:i4>
      </vt:variant>
      <vt:variant>
        <vt:i4>5</vt:i4>
      </vt:variant>
      <vt:variant>
        <vt:lpwstr/>
      </vt:variant>
      <vt:variant>
        <vt:lpwstr>_Toc381700625</vt:lpwstr>
      </vt:variant>
      <vt:variant>
        <vt:i4>1703988</vt:i4>
      </vt:variant>
      <vt:variant>
        <vt:i4>50</vt:i4>
      </vt:variant>
      <vt:variant>
        <vt:i4>0</vt:i4>
      </vt:variant>
      <vt:variant>
        <vt:i4>5</vt:i4>
      </vt:variant>
      <vt:variant>
        <vt:lpwstr/>
      </vt:variant>
      <vt:variant>
        <vt:lpwstr>_Toc381700624</vt:lpwstr>
      </vt:variant>
      <vt:variant>
        <vt:i4>1703988</vt:i4>
      </vt:variant>
      <vt:variant>
        <vt:i4>44</vt:i4>
      </vt:variant>
      <vt:variant>
        <vt:i4>0</vt:i4>
      </vt:variant>
      <vt:variant>
        <vt:i4>5</vt:i4>
      </vt:variant>
      <vt:variant>
        <vt:lpwstr/>
      </vt:variant>
      <vt:variant>
        <vt:lpwstr>_Toc381700623</vt:lpwstr>
      </vt:variant>
      <vt:variant>
        <vt:i4>1703988</vt:i4>
      </vt:variant>
      <vt:variant>
        <vt:i4>38</vt:i4>
      </vt:variant>
      <vt:variant>
        <vt:i4>0</vt:i4>
      </vt:variant>
      <vt:variant>
        <vt:i4>5</vt:i4>
      </vt:variant>
      <vt:variant>
        <vt:lpwstr/>
      </vt:variant>
      <vt:variant>
        <vt:lpwstr>_Toc381700622</vt:lpwstr>
      </vt:variant>
      <vt:variant>
        <vt:i4>1703988</vt:i4>
      </vt:variant>
      <vt:variant>
        <vt:i4>32</vt:i4>
      </vt:variant>
      <vt:variant>
        <vt:i4>0</vt:i4>
      </vt:variant>
      <vt:variant>
        <vt:i4>5</vt:i4>
      </vt:variant>
      <vt:variant>
        <vt:lpwstr/>
      </vt:variant>
      <vt:variant>
        <vt:lpwstr>_Toc381700621</vt:lpwstr>
      </vt:variant>
      <vt:variant>
        <vt:i4>1703988</vt:i4>
      </vt:variant>
      <vt:variant>
        <vt:i4>26</vt:i4>
      </vt:variant>
      <vt:variant>
        <vt:i4>0</vt:i4>
      </vt:variant>
      <vt:variant>
        <vt:i4>5</vt:i4>
      </vt:variant>
      <vt:variant>
        <vt:lpwstr/>
      </vt:variant>
      <vt:variant>
        <vt:lpwstr>_Toc381700620</vt:lpwstr>
      </vt:variant>
      <vt:variant>
        <vt:i4>1638452</vt:i4>
      </vt:variant>
      <vt:variant>
        <vt:i4>20</vt:i4>
      </vt:variant>
      <vt:variant>
        <vt:i4>0</vt:i4>
      </vt:variant>
      <vt:variant>
        <vt:i4>5</vt:i4>
      </vt:variant>
      <vt:variant>
        <vt:lpwstr/>
      </vt:variant>
      <vt:variant>
        <vt:lpwstr>_Toc381700619</vt:lpwstr>
      </vt:variant>
      <vt:variant>
        <vt:i4>1638452</vt:i4>
      </vt:variant>
      <vt:variant>
        <vt:i4>14</vt:i4>
      </vt:variant>
      <vt:variant>
        <vt:i4>0</vt:i4>
      </vt:variant>
      <vt:variant>
        <vt:i4>5</vt:i4>
      </vt:variant>
      <vt:variant>
        <vt:lpwstr/>
      </vt:variant>
      <vt:variant>
        <vt:lpwstr>_Toc381700618</vt:lpwstr>
      </vt:variant>
      <vt:variant>
        <vt:i4>1638452</vt:i4>
      </vt:variant>
      <vt:variant>
        <vt:i4>8</vt:i4>
      </vt:variant>
      <vt:variant>
        <vt:i4>0</vt:i4>
      </vt:variant>
      <vt:variant>
        <vt:i4>5</vt:i4>
      </vt:variant>
      <vt:variant>
        <vt:lpwstr/>
      </vt:variant>
      <vt:variant>
        <vt:lpwstr>_Toc381700617</vt:lpwstr>
      </vt:variant>
      <vt:variant>
        <vt:i4>1638452</vt:i4>
      </vt:variant>
      <vt:variant>
        <vt:i4>2</vt:i4>
      </vt:variant>
      <vt:variant>
        <vt:i4>0</vt:i4>
      </vt:variant>
      <vt:variant>
        <vt:i4>5</vt:i4>
      </vt:variant>
      <vt:variant>
        <vt:lpwstr/>
      </vt:variant>
      <vt:variant>
        <vt:lpwstr>_Toc381700616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punto di partenza</dc:title>
  <dc:subject/>
  <dc:creator>Marco Signorini</dc:creator>
  <cp:keywords/>
  <cp:lastModifiedBy>cartellacloud sete</cp:lastModifiedBy>
  <cp:revision>64</cp:revision>
  <cp:lastPrinted>2014-03-04T11:43:00Z</cp:lastPrinted>
  <dcterms:created xsi:type="dcterms:W3CDTF">2024-04-05T09:51:00Z</dcterms:created>
  <dcterms:modified xsi:type="dcterms:W3CDTF">2024-04-25T07:58:00Z</dcterms:modified>
</cp:coreProperties>
</file>